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黑体" w:hAnsi="黑体" w:eastAsia="黑体" w:cs="黑体"/>
          <w:sz w:val="32"/>
          <w:szCs w:val="32"/>
        </w:rPr>
      </w:pPr>
      <w:r>
        <w:rPr>
          <w:rFonts w:hint="eastAsia" w:ascii="黑体" w:hAnsi="黑体" w:eastAsia="黑体" w:cs="黑体"/>
          <w:sz w:val="32"/>
          <w:szCs w:val="32"/>
        </w:rPr>
        <w:t>《重大活动食品安全风险评价指标体系》</w:t>
      </w:r>
    </w:p>
    <w:p>
      <w:pPr>
        <w:pStyle w:val="3"/>
        <w:jc w:val="center"/>
        <w:rPr>
          <w:rFonts w:ascii="黑体" w:hAnsi="黑体" w:eastAsia="黑体" w:cs="黑体"/>
          <w:sz w:val="32"/>
          <w:szCs w:val="32"/>
        </w:rPr>
      </w:pPr>
      <w:r>
        <w:rPr>
          <w:rFonts w:hint="eastAsia" w:ascii="黑体" w:hAnsi="黑体" w:eastAsia="黑体" w:cs="黑体"/>
          <w:sz w:val="32"/>
          <w:szCs w:val="32"/>
        </w:rPr>
        <w:t>团体标准编制说明</w:t>
      </w:r>
    </w:p>
    <w:p>
      <w:pPr>
        <w:pStyle w:val="2"/>
        <w:spacing w:before="156" w:after="156"/>
      </w:pPr>
      <w:r>
        <w:rPr>
          <w:rFonts w:hint="eastAsia"/>
        </w:rPr>
        <w:t>1、工作简况</w:t>
      </w:r>
    </w:p>
    <w:p>
      <w:pPr>
        <w:pStyle w:val="2"/>
        <w:spacing w:before="156" w:after="156"/>
      </w:pPr>
      <w:r>
        <w:rPr>
          <w:rFonts w:hint="eastAsia"/>
        </w:rPr>
        <w:t>1.1 任务来源</w:t>
      </w:r>
    </w:p>
    <w:p>
      <w:pPr>
        <w:spacing w:line="400" w:lineRule="exact"/>
        <w:ind w:firstLine="480" w:firstLineChars="200"/>
        <w:jc w:val="left"/>
        <w:rPr>
          <w:rFonts w:ascii="宋体" w:hAnsi="宋体" w:eastAsia="宋体" w:cs="宋体"/>
          <w:sz w:val="24"/>
        </w:rPr>
      </w:pPr>
      <w:r>
        <w:rPr>
          <w:rFonts w:hint="eastAsia" w:ascii="宋体" w:hAnsi="宋体" w:eastAsia="宋体" w:cs="宋体"/>
          <w:sz w:val="24"/>
        </w:rPr>
        <w:t>《重大活动</w:t>
      </w:r>
      <w:r>
        <w:rPr>
          <w:rFonts w:hint="eastAsia" w:ascii="宋体" w:hAnsi="宋体" w:eastAsia="宋体" w:cs="宋体"/>
          <w:sz w:val="24"/>
          <w:lang w:eastAsia="zh-CN"/>
        </w:rPr>
        <w:t>食品安全风险评价指标体系</w:t>
      </w:r>
      <w:r>
        <w:rPr>
          <w:rFonts w:hint="eastAsia" w:ascii="宋体" w:hAnsi="宋体" w:eastAsia="宋体" w:cs="宋体"/>
          <w:sz w:val="24"/>
        </w:rPr>
        <w:t>》是基于国家重点研发计划项目《重大活动食品安全风险防控警务模式及关键技术研究》而提出的，本标准由北方工业大学</w:t>
      </w:r>
      <w:r>
        <w:rPr>
          <w:rFonts w:ascii="宋体" w:hAnsi="宋体" w:eastAsia="宋体" w:cs="宋体"/>
          <w:sz w:val="24"/>
        </w:rPr>
        <w:t>牵头负责</w:t>
      </w:r>
      <w:r>
        <w:rPr>
          <w:rFonts w:hint="eastAsia" w:ascii="宋体" w:hAnsi="宋体" w:eastAsia="宋体" w:cs="宋体"/>
          <w:sz w:val="24"/>
        </w:rPr>
        <w:t>，</w:t>
      </w:r>
      <w:r>
        <w:rPr>
          <w:rFonts w:ascii="宋体" w:hAnsi="宋体" w:eastAsia="宋体" w:cs="宋体"/>
          <w:sz w:val="24"/>
        </w:rPr>
        <w:t xml:space="preserve"> 中国人民公安大学</w:t>
      </w:r>
      <w:r>
        <w:rPr>
          <w:rFonts w:hint="eastAsia" w:ascii="宋体" w:hAnsi="宋体" w:eastAsia="宋体" w:cs="宋体"/>
          <w:sz w:val="24"/>
        </w:rPr>
        <w:t>、北京工业大学、江苏华安博远检测技术有限公司联合共同制定。</w:t>
      </w:r>
    </w:p>
    <w:p>
      <w:pPr>
        <w:pStyle w:val="2"/>
        <w:spacing w:before="156" w:after="156"/>
        <w:rPr>
          <w:rFonts w:hint="eastAsia"/>
        </w:rPr>
      </w:pPr>
      <w:r>
        <w:rPr>
          <w:rFonts w:hint="eastAsia"/>
        </w:rPr>
        <w:t>1.2目的意义</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重大活动是由各级政府机构主办的具有一-定社会影响力、 需要公共卫生监督保障的各项高规格的政治、经济、文化、体育等活动，，包括重要政治(庆典)活动、重要体育赛事、重大会议(论坛)活动。如外事接待、国庆庆典、奥运会、亚运会、大学生运动会、世界杯、G20、APEC、 中非论坛、“一带- -路” 等经济、文化活动。重大活动具有人数众多、人群复杂、规格高、社会影响大的特点而受到社会的广泛关注。随着社会经济的飞速发展，人们生活水平的提高，各类政治、经济、文化交往日益增多，食品卫生保障工作的重要性逐步受到各级领导的重视和各界的关注，并已成为直接影响到重大活动能否正常进行的重要影响因素。</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针对重大活动食品安全风险防控中毒害危险物难防范难预警,难处置等问题，有效获取情报,准确分析研判，事前防范化解重大活动食品安全风险意义重大，国家重点研发课题“重大活动食品安全警务情报研判技术及系统研发”承担单位北方工业大学，提出制定《重大活动食品安全风险评价指标体系》团体标准。该团体标准拟通过设计出一套适用于重大活动的具备全面性、代表性和可操作性特点的食品安全风险评价指标体系，这套指标体系能够准确、全面地反映食品的风险水平、能够体现重大活动食品安全风险要素的内涵与主要内容，反应食品的风险水平;能够科学及时地反映食品安全风险变化情况，具有较强的敏感性，使其成为反映食品安全风险状况的“晴雨表。</w:t>
      </w:r>
    </w:p>
    <w:p>
      <w:pPr>
        <w:spacing w:line="400" w:lineRule="exact"/>
        <w:ind w:firstLine="480" w:firstLineChars="200"/>
        <w:jc w:val="left"/>
        <w:rPr>
          <w:rFonts w:hint="eastAsia"/>
        </w:rPr>
      </w:pPr>
      <w:r>
        <w:rPr>
          <w:rFonts w:hint="eastAsia" w:ascii="宋体" w:hAnsi="宋体" w:eastAsia="宋体" w:cs="宋体"/>
          <w:sz w:val="24"/>
        </w:rPr>
        <w:t>本标准的实施对于实现重大活动食品安全风险态势的综合研判、智能决策及动态预警具有重要现实意义，从而指导各地重大活动食品安保工作有序开展，确保重大活动顺利完成，为重大活动食品安全保障保驾护航。</w:t>
      </w:r>
    </w:p>
    <w:p>
      <w:pPr>
        <w:pStyle w:val="2"/>
        <w:spacing w:before="156" w:after="156"/>
      </w:pPr>
      <w:r>
        <w:rPr>
          <w:rFonts w:hint="eastAsia"/>
        </w:rPr>
        <w:t>1.3  国内外相关标准情况</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2011年原国家食品药品监督管理局组织制定了《重大活动餐饮服务食品安全监督管理规范》，强调了预防为主、科学管理、属地负责、分级监督的监管原则，明确了重大活动主办单位、餐饮服务提供者和监管部门的责任，规定了餐饮服务食品安全监督程序。国内外目前尚无关于《重大活动食品安全风险评价指标体系》的国家标准和行业标准。本标准是基于国家重点研发计划项目《重大活动食品安全风险防控警务模式及关键技术研究》而提出的。</w:t>
      </w:r>
    </w:p>
    <w:p>
      <w:pPr>
        <w:pStyle w:val="2"/>
        <w:spacing w:before="156" w:after="156"/>
      </w:pPr>
      <w:r>
        <w:rPr>
          <w:rFonts w:hint="eastAsia"/>
        </w:rPr>
        <w:t>1.4  主要工作过程</w:t>
      </w:r>
    </w:p>
    <w:p>
      <w:pPr>
        <w:spacing w:line="400" w:lineRule="exact"/>
        <w:rPr>
          <w:rFonts w:hint="eastAsia"/>
          <w:sz w:val="24"/>
          <w:lang w:eastAsia="zh-CN"/>
        </w:rPr>
      </w:pPr>
      <w:r>
        <w:rPr>
          <w:rFonts w:hint="eastAsia"/>
          <w:sz w:val="24"/>
        </w:rPr>
        <w:t>（1）</w:t>
      </w:r>
      <w:r>
        <w:rPr>
          <w:rFonts w:hint="eastAsia"/>
          <w:sz w:val="24"/>
          <w:lang w:eastAsia="zh-CN"/>
        </w:rPr>
        <w:t>标准调研</w:t>
      </w:r>
    </w:p>
    <w:p>
      <w:pPr>
        <w:spacing w:line="400" w:lineRule="exact"/>
        <w:ind w:firstLine="480" w:firstLineChars="200"/>
        <w:rPr>
          <w:rFonts w:hint="default"/>
          <w:sz w:val="24"/>
          <w:lang w:val="en-US" w:eastAsia="zh-CN"/>
        </w:rPr>
      </w:pPr>
      <w:r>
        <w:rPr>
          <w:rFonts w:hint="eastAsia"/>
          <w:sz w:val="24"/>
          <w:lang w:val="en-US" w:eastAsia="zh-CN"/>
        </w:rPr>
        <w:t>2020年9月-2021年6月，进行标准调研。</w:t>
      </w:r>
    </w:p>
    <w:p>
      <w:pPr>
        <w:spacing w:line="400" w:lineRule="exact"/>
        <w:rPr>
          <w:sz w:val="24"/>
        </w:rPr>
      </w:pPr>
      <w:r>
        <w:rPr>
          <w:rFonts w:hint="eastAsia"/>
          <w:sz w:val="24"/>
        </w:rPr>
        <w:t>（</w:t>
      </w:r>
      <w:r>
        <w:rPr>
          <w:rFonts w:hint="eastAsia"/>
          <w:sz w:val="24"/>
          <w:lang w:val="en-US" w:eastAsia="zh-CN"/>
        </w:rPr>
        <w:t>2</w:t>
      </w:r>
      <w:r>
        <w:rPr>
          <w:rFonts w:hint="eastAsia"/>
          <w:sz w:val="24"/>
        </w:rPr>
        <w:t>）成立标准编制工作组</w:t>
      </w:r>
    </w:p>
    <w:p>
      <w:pPr>
        <w:spacing w:line="400" w:lineRule="exact"/>
        <w:ind w:firstLine="480" w:firstLineChars="200"/>
        <w:rPr>
          <w:rFonts w:hint="eastAsia" w:eastAsiaTheme="minorEastAsia"/>
          <w:sz w:val="24"/>
          <w:lang w:eastAsia="zh-CN"/>
        </w:rPr>
      </w:pPr>
      <w:r>
        <w:rPr>
          <w:rFonts w:hint="eastAsia"/>
          <w:sz w:val="24"/>
        </w:rPr>
        <w:t>2021年</w:t>
      </w:r>
      <w:r>
        <w:rPr>
          <w:rFonts w:hint="eastAsia"/>
          <w:sz w:val="24"/>
          <w:lang w:val="en-US" w:eastAsia="zh-CN"/>
        </w:rPr>
        <w:t>6</w:t>
      </w:r>
      <w:r>
        <w:rPr>
          <w:rFonts w:hint="eastAsia"/>
          <w:sz w:val="24"/>
        </w:rPr>
        <w:t>月，成立标准编制工作组，制定工作计划和落实方案，启动标准研究及编制工作。</w:t>
      </w:r>
    </w:p>
    <w:p>
      <w:pPr>
        <w:numPr>
          <w:ilvl w:val="0"/>
          <w:numId w:val="0"/>
        </w:numPr>
        <w:spacing w:line="400" w:lineRule="exact"/>
        <w:rPr>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rPr>
        <w:t>调查研究、收集资料、撰写标准草案</w:t>
      </w:r>
    </w:p>
    <w:p>
      <w:pPr>
        <w:spacing w:line="400" w:lineRule="exact"/>
        <w:ind w:firstLine="480" w:firstLineChars="200"/>
        <w:rPr>
          <w:sz w:val="24"/>
        </w:rPr>
      </w:pPr>
      <w:r>
        <w:rPr>
          <w:rFonts w:hint="eastAsia"/>
          <w:sz w:val="24"/>
        </w:rPr>
        <w:t>标准编制工作组通过查阅相关文献，标准资料，了解国内外研究现状，整理国内及进口市售燕麦麸皮产品进行分析研究。</w:t>
      </w:r>
    </w:p>
    <w:p>
      <w:pPr>
        <w:numPr>
          <w:ilvl w:val="0"/>
          <w:numId w:val="0"/>
        </w:numPr>
        <w:spacing w:line="400" w:lineRule="exact"/>
        <w:rPr>
          <w:sz w:val="24"/>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rPr>
        <w:t>标准草案编制</w:t>
      </w:r>
    </w:p>
    <w:p>
      <w:pPr>
        <w:spacing w:line="400" w:lineRule="exact"/>
        <w:ind w:firstLine="480" w:firstLineChars="200"/>
        <w:rPr>
          <w:rFonts w:hint="eastAsia" w:eastAsiaTheme="minorEastAsia"/>
          <w:sz w:val="24"/>
          <w:lang w:eastAsia="zh-CN"/>
        </w:rPr>
      </w:pPr>
      <w:r>
        <w:rPr>
          <w:rFonts w:hint="eastAsia"/>
          <w:sz w:val="24"/>
        </w:rPr>
        <w:t>开展标准起草工作，确定标准文本框架，本标准适用于重大活动食品安全风险评价，重大活动食品的安全风险评价指标可应用于重大活动食品全生命周期中的各阶段，包括总仓、配送、加工和餐饮等阶段。</w:t>
      </w:r>
    </w:p>
    <w:p/>
    <w:p>
      <w:pPr>
        <w:pStyle w:val="2"/>
        <w:spacing w:before="156" w:after="156"/>
      </w:pPr>
      <w:r>
        <w:rPr>
          <w:rFonts w:hint="eastAsia"/>
        </w:rPr>
        <w:t>2、标准编制原则和标准的主要内容</w:t>
      </w:r>
    </w:p>
    <w:p>
      <w:pPr>
        <w:pStyle w:val="2"/>
        <w:spacing w:before="156" w:after="156"/>
      </w:pPr>
      <w:r>
        <w:rPr>
          <w:rFonts w:hint="eastAsia"/>
        </w:rPr>
        <w:t>2.1  标准编制原则</w:t>
      </w:r>
    </w:p>
    <w:p>
      <w:pPr>
        <w:spacing w:line="400" w:lineRule="exact"/>
        <w:ind w:firstLine="480" w:firstLineChars="200"/>
        <w:rPr>
          <w:sz w:val="24"/>
        </w:rPr>
      </w:pPr>
      <w:r>
        <w:rPr>
          <w:rFonts w:hint="eastAsia"/>
          <w:sz w:val="24"/>
        </w:rPr>
        <w:t>本标准的制定本着先进性、科学性和可操作性的原则及标准的目标性、统一性、协调性、适用性和规范性的原则来进行制定工作。</w:t>
      </w:r>
    </w:p>
    <w:p>
      <w:pPr>
        <w:spacing w:line="400" w:lineRule="exact"/>
        <w:ind w:firstLine="480" w:firstLineChars="200"/>
        <w:rPr>
          <w:sz w:val="24"/>
        </w:rPr>
      </w:pPr>
      <w:r>
        <w:rPr>
          <w:rFonts w:hint="eastAsia"/>
          <w:sz w:val="24"/>
        </w:rPr>
        <w:t>本标准起草过程主要按照《标准化工作导则 第1部分：标准化文件的结构和起草规则》（GB/T 1.1—2020）以及《标准编写规则 第5部分：规范标准》（GB/T 20001.5—2017）进行编写。</w:t>
      </w:r>
    </w:p>
    <w:p>
      <w:pPr>
        <w:pStyle w:val="2"/>
        <w:spacing w:before="156" w:after="156"/>
      </w:pPr>
      <w:r>
        <w:rPr>
          <w:rFonts w:hint="eastAsia"/>
        </w:rPr>
        <w:t>2.2  标准主要内容的制定</w:t>
      </w:r>
    </w:p>
    <w:p>
      <w:pPr>
        <w:spacing w:line="400" w:lineRule="exact"/>
        <w:ind w:firstLine="480" w:firstLineChars="200"/>
        <w:rPr>
          <w:rFonts w:hint="eastAsia" w:eastAsiaTheme="minorEastAsia"/>
          <w:sz w:val="24"/>
          <w:lang w:eastAsia="zh-CN"/>
        </w:rPr>
      </w:pPr>
      <w:r>
        <w:rPr>
          <w:rFonts w:hint="eastAsia"/>
          <w:sz w:val="24"/>
        </w:rPr>
        <w:t>本标准规定了1、 重大活动食品安全风险定义</w:t>
      </w:r>
      <w:r>
        <w:rPr>
          <w:rFonts w:hint="eastAsia"/>
          <w:sz w:val="24"/>
          <w:lang w:eastAsia="zh-CN"/>
        </w:rPr>
        <w:t>；</w:t>
      </w:r>
      <w:r>
        <w:rPr>
          <w:rFonts w:hint="eastAsia"/>
          <w:sz w:val="24"/>
        </w:rPr>
        <w:t xml:space="preserve"> 2、重大活动食品安全评价通则，包括指标体系设计原则和评价原则</w:t>
      </w:r>
      <w:r>
        <w:rPr>
          <w:rFonts w:hint="eastAsia"/>
          <w:sz w:val="24"/>
          <w:lang w:eastAsia="zh-CN"/>
        </w:rPr>
        <w:t>；</w:t>
      </w:r>
      <w:r>
        <w:rPr>
          <w:rFonts w:hint="eastAsia"/>
          <w:sz w:val="24"/>
        </w:rPr>
        <w:t>3、食品安全风险评价指标构成与分类</w:t>
      </w:r>
      <w:r>
        <w:rPr>
          <w:rFonts w:hint="eastAsia"/>
          <w:sz w:val="24"/>
          <w:lang w:eastAsia="zh-CN"/>
        </w:rPr>
        <w:t>；</w:t>
      </w:r>
      <w:r>
        <w:rPr>
          <w:rFonts w:hint="eastAsia"/>
          <w:sz w:val="24"/>
        </w:rPr>
        <w:t xml:space="preserve"> 4、 重大活动食品安全风险评价指标(通用指标)</w:t>
      </w:r>
      <w:r>
        <w:rPr>
          <w:rFonts w:hint="eastAsia"/>
          <w:sz w:val="24"/>
          <w:lang w:eastAsia="zh-CN"/>
        </w:rPr>
        <w:t>。</w:t>
      </w:r>
    </w:p>
    <w:p>
      <w:pPr>
        <w:spacing w:line="400" w:lineRule="exact"/>
        <w:rPr>
          <w:rFonts w:hint="eastAsia"/>
          <w:b/>
          <w:bCs/>
          <w:sz w:val="24"/>
        </w:rPr>
      </w:pPr>
      <w:r>
        <w:rPr>
          <w:rFonts w:hint="eastAsia"/>
          <w:b/>
          <w:bCs/>
          <w:sz w:val="24"/>
        </w:rPr>
        <w:t>2.2.1  术语和定义</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sz w:val="24"/>
          <w:lang w:val="en-US" w:eastAsia="zh-CN"/>
        </w:rPr>
      </w:pPr>
      <w:r>
        <w:rPr>
          <w:rFonts w:hint="eastAsia"/>
          <w:sz w:val="24"/>
          <w:lang w:val="en-US" w:eastAsia="zh-CN"/>
        </w:rPr>
        <w:t>重大活动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lang w:val="en-US" w:eastAsia="zh-CN"/>
        </w:rPr>
      </w:pPr>
      <w:r>
        <w:rPr>
          <w:rFonts w:hint="eastAsia"/>
          <w:lang w:val="en-US" w:eastAsia="zh-CN"/>
        </w:rPr>
        <w:t>2011年原</w:t>
      </w:r>
      <w:r>
        <w:rPr>
          <w:rFonts w:hint="eastAsia"/>
        </w:rPr>
        <w:t>国家食品药品监督管理局</w:t>
      </w:r>
      <w:r>
        <w:rPr>
          <w:rFonts w:hint="eastAsia"/>
          <w:lang w:eastAsia="zh-CN"/>
        </w:rPr>
        <w:t>发布的《</w:t>
      </w:r>
      <w:r>
        <w:rPr>
          <w:rFonts w:hint="eastAsia"/>
        </w:rPr>
        <w:t>重大活动餐饮服务食品安全监督管理规范</w:t>
      </w:r>
      <w:r>
        <w:rPr>
          <w:rFonts w:hint="eastAsia"/>
          <w:lang w:eastAsia="zh-CN"/>
        </w:rPr>
        <w:t>》，</w:t>
      </w:r>
      <w:r>
        <w:rPr>
          <w:rFonts w:hint="eastAsia"/>
        </w:rPr>
        <w:t>规范适用于各级政府确定的具有特定规模和影响的政治、经济、文化、体育以及其他重大活动的餐饮服务食品 安全监督管理。</w:t>
      </w:r>
      <w:r>
        <w:rPr>
          <w:rFonts w:hint="eastAsia"/>
          <w:lang w:eastAsia="zh-CN"/>
        </w:rPr>
        <w:t>广东、重庆、江西、佛山等省级、地市级市场监督管理局发布了相应的重大活动管理规定及实施细则，适用范围大致均为“</w:t>
      </w:r>
      <w:r>
        <w:rPr>
          <w:rFonts w:hint="eastAsia"/>
        </w:rPr>
        <w:t>市各级党委、政府、人大、政协确定的在我市举办的具有一定规模和影响的政治、经济、文化、体育等重大活动期间食品安全监督管理工作。</w:t>
      </w:r>
      <w:r>
        <w:rPr>
          <w:rFonts w:hint="eastAsia"/>
          <w:lang w:eastAsia="zh-CN"/>
        </w:rPr>
        <w:t>”</w:t>
      </w:r>
    </w:p>
    <w:p>
      <w:pPr>
        <w:spacing w:line="400" w:lineRule="exact"/>
        <w:ind w:firstLine="480" w:firstLineChars="200"/>
        <w:rPr>
          <w:rFonts w:hint="eastAsia"/>
          <w:sz w:val="24"/>
          <w:lang w:val="en-US" w:eastAsia="zh-CN"/>
        </w:rPr>
      </w:pPr>
      <w:r>
        <w:rPr>
          <w:rFonts w:hint="eastAsia"/>
          <w:sz w:val="24"/>
          <w:lang w:val="en-US" w:eastAsia="zh-CN"/>
        </w:rPr>
        <w:t>重庆《重庆市市场监督管理局关于印发重庆市重大活动食品安全监督管理实施细则（试行）的通知》：重大活动主要指党员代表大会、人民代表大会、政治协商会 议和重要的国际会议，国际性、全国性、区域性体育比赛；国家 领导人的视察活动，外国政府代表团的访问活动；各级党委、政 府确定的大型庆典、经贸等活动。</w:t>
      </w:r>
    </w:p>
    <w:p>
      <w:pPr>
        <w:spacing w:line="400" w:lineRule="exact"/>
        <w:ind w:firstLine="480" w:firstLineChars="200"/>
        <w:rPr>
          <w:rFonts w:hint="eastAsia"/>
          <w:sz w:val="24"/>
          <w:lang w:val="en-US" w:eastAsia="zh-CN"/>
        </w:rPr>
      </w:pPr>
      <w:r>
        <w:rPr>
          <w:rFonts w:hint="eastAsia"/>
          <w:sz w:val="24"/>
          <w:lang w:val="en-US" w:eastAsia="zh-CN"/>
        </w:rPr>
        <w:t>广东《广东省食品药品监督管理局关于全省重大活动食品安全监督管理的实施细则》：重大活动主要指党员代表大会、人民代表大会、政治协商会议和重要的国际会议，以及国际、全国、区域性体育比赛，大型庆典、经贸等活动。</w:t>
      </w:r>
    </w:p>
    <w:p>
      <w:pPr>
        <w:spacing w:line="400" w:lineRule="exact"/>
        <w:ind w:firstLine="480" w:firstLineChars="200"/>
        <w:rPr>
          <w:rFonts w:hint="eastAsia" w:eastAsiaTheme="minorEastAsia"/>
          <w:sz w:val="24"/>
          <w:lang w:eastAsia="zh-CN"/>
        </w:rPr>
      </w:pPr>
      <w:r>
        <w:rPr>
          <w:rFonts w:hint="eastAsia"/>
          <w:sz w:val="24"/>
        </w:rPr>
        <w:t>在学术领域，部分学者对重大活动的概念进行了探讨，如戴金增等认为，重大活动可以理解为举办者在其常规化的日常职能活动外，为实现特定目标，经过精心策划、非经常性地定期或者不定期举办，具有一定规模，在一定区域范围乃至全国、世界具有较大影响的一次性群体性活动，如重要的庆典、集会、会展等.</w:t>
      </w:r>
      <w:r>
        <w:rPr>
          <w:rStyle w:val="15"/>
          <w:rFonts w:hint="eastAsia"/>
          <w:sz w:val="24"/>
        </w:rPr>
        <w:footnoteReference w:id="0"/>
      </w:r>
      <w:r>
        <w:rPr>
          <w:rFonts w:hint="eastAsia"/>
          <w:sz w:val="24"/>
          <w:lang w:eastAsia="zh-CN"/>
        </w:rPr>
        <w:t>。</w:t>
      </w:r>
    </w:p>
    <w:p>
      <w:pPr>
        <w:spacing w:line="400" w:lineRule="exact"/>
        <w:ind w:firstLine="480" w:firstLineChars="200"/>
        <w:rPr>
          <w:rFonts w:hint="eastAsia"/>
          <w:sz w:val="24"/>
          <w:lang w:val="en-US" w:eastAsia="zh-CN"/>
        </w:rPr>
      </w:pPr>
      <w:r>
        <w:rPr>
          <w:rFonts w:hint="eastAsia"/>
          <w:sz w:val="24"/>
          <w:lang w:val="en-US" w:eastAsia="zh-CN"/>
        </w:rPr>
        <w:t>综上：重大活动定义为：由各级政府机构主办的具有一定社会影响力、需要公共卫生监督和警务保障的各项高规格的政治、经济、文化、体育等活动。重大活动具有规格高、社会影响大的特点，可分为重要政治（庆典）活动、重要体育赛事、重大会议（论坛）活动。</w:t>
      </w:r>
    </w:p>
    <w:p>
      <w:pPr>
        <w:numPr>
          <w:ilvl w:val="0"/>
          <w:numId w:val="3"/>
        </w:numPr>
        <w:spacing w:line="400" w:lineRule="exact"/>
        <w:ind w:left="425" w:leftChars="0" w:hanging="425" w:firstLineChars="0"/>
        <w:rPr>
          <w:rFonts w:hint="eastAsia" w:eastAsiaTheme="minorEastAsia"/>
          <w:sz w:val="24"/>
          <w:lang w:eastAsia="zh-CN"/>
        </w:rPr>
      </w:pPr>
      <w:r>
        <w:rPr>
          <w:rFonts w:hint="eastAsia"/>
          <w:color w:val="000000"/>
          <w:highlight w:val="none"/>
        </w:rPr>
        <w:t>食品安全</w:t>
      </w:r>
    </w:p>
    <w:p>
      <w:pPr>
        <w:spacing w:line="400" w:lineRule="exact"/>
        <w:ind w:firstLine="480" w:firstLineChars="200"/>
        <w:rPr>
          <w:rFonts w:hint="eastAsia"/>
          <w:sz w:val="24"/>
          <w:lang w:val="en-US" w:eastAsia="zh-CN"/>
        </w:rPr>
      </w:pPr>
      <w:r>
        <w:rPr>
          <w:rFonts w:hint="eastAsia"/>
          <w:sz w:val="24"/>
          <w:lang w:val="en-US" w:eastAsia="zh-CN"/>
        </w:rPr>
        <w:t>GB/T 22000-2006《食品安全管理体系 食品链中各类组织的要求》中规定的食品安全是“食品在按照预期用途进行制备和(或)食用时,不会对消费者造成伤害的概念。”《食品安全法》中“食品安全，指食品无毒、无害，符合应当有 的营养要求，对人体健康不造成任何急性、亚急 性或者慢性危害。”</w:t>
      </w:r>
    </w:p>
    <w:p>
      <w:pPr>
        <w:spacing w:line="400" w:lineRule="exact"/>
        <w:ind w:firstLine="480" w:firstLineChars="200"/>
        <w:rPr>
          <w:rFonts w:hint="eastAsia"/>
          <w:sz w:val="24"/>
          <w:lang w:val="en-US" w:eastAsia="zh-CN"/>
        </w:rPr>
      </w:pPr>
      <w:r>
        <w:rPr>
          <w:rFonts w:hint="eastAsia"/>
          <w:sz w:val="24"/>
          <w:lang w:val="en-US" w:eastAsia="zh-CN"/>
        </w:rPr>
        <w:t>考虑到重大活动的食品安全性，本标准采用食品安全法的定义，并根据GB/T 1.1的要求进行修改。</w:t>
      </w:r>
    </w:p>
    <w:p>
      <w:pPr>
        <w:pStyle w:val="23"/>
        <w:numPr>
          <w:ilvl w:val="0"/>
          <w:numId w:val="0"/>
        </w:numPr>
        <w:ind w:leftChars="0"/>
        <w:rPr>
          <w:rFonts w:hint="eastAsia"/>
          <w:color w:val="000000"/>
          <w:sz w:val="24"/>
          <w:szCs w:val="24"/>
          <w:highlight w:val="none"/>
          <w:lang w:eastAsia="zh-CN"/>
        </w:rPr>
      </w:pPr>
      <w:bookmarkStart w:id="0" w:name="_Toc45622387"/>
      <w:bookmarkStart w:id="1" w:name="_Toc45621239"/>
      <w:bookmarkStart w:id="2" w:name="_Toc45622908"/>
      <w:bookmarkStart w:id="3" w:name="_Toc45112065"/>
      <w:bookmarkStart w:id="4" w:name="_Toc45112125"/>
      <w:bookmarkStart w:id="5" w:name="_Toc78098293"/>
      <w:r>
        <w:rPr>
          <w:rFonts w:hint="eastAsia"/>
          <w:color w:val="000000"/>
          <w:sz w:val="24"/>
          <w:szCs w:val="24"/>
          <w:highlight w:val="none"/>
          <w:lang w:val="en-US" w:eastAsia="zh-CN"/>
        </w:rPr>
        <w:t xml:space="preserve">2.2.2 </w:t>
      </w:r>
      <w:r>
        <w:rPr>
          <w:rFonts w:hint="eastAsia"/>
          <w:color w:val="000000"/>
          <w:sz w:val="24"/>
          <w:szCs w:val="24"/>
          <w:highlight w:val="none"/>
        </w:rPr>
        <w:t>评价</w:t>
      </w:r>
      <w:bookmarkEnd w:id="0"/>
      <w:bookmarkEnd w:id="1"/>
      <w:bookmarkEnd w:id="2"/>
      <w:bookmarkEnd w:id="3"/>
      <w:bookmarkEnd w:id="4"/>
      <w:bookmarkEnd w:id="5"/>
      <w:r>
        <w:rPr>
          <w:rFonts w:hint="eastAsia"/>
          <w:color w:val="000000"/>
          <w:sz w:val="24"/>
          <w:szCs w:val="24"/>
          <w:highlight w:val="none"/>
          <w:lang w:eastAsia="zh-CN"/>
        </w:rPr>
        <w:t>基本原则</w:t>
      </w:r>
    </w:p>
    <w:p>
      <w:pPr>
        <w:spacing w:line="400" w:lineRule="exact"/>
        <w:ind w:firstLine="480" w:firstLineChars="200"/>
        <w:rPr>
          <w:rFonts w:hint="eastAsia"/>
          <w:sz w:val="24"/>
          <w:lang w:val="en-US" w:eastAsia="zh-CN"/>
        </w:rPr>
      </w:pPr>
      <w:r>
        <w:rPr>
          <w:rFonts w:hint="eastAsia"/>
          <w:sz w:val="24"/>
          <w:lang w:val="en-US" w:eastAsia="zh-CN"/>
        </w:rPr>
        <w:t>评价原则分为两部分，一为</w:t>
      </w:r>
      <w:bookmarkStart w:id="6" w:name="_Toc78098294"/>
      <w:bookmarkStart w:id="7" w:name="_Toc45622909"/>
      <w:bookmarkStart w:id="8" w:name="_Toc45112066"/>
      <w:bookmarkStart w:id="9" w:name="_Toc45112126"/>
      <w:bookmarkStart w:id="10" w:name="_Toc45621240"/>
      <w:bookmarkStart w:id="11" w:name="_Toc45622388"/>
      <w:r>
        <w:rPr>
          <w:rFonts w:hint="eastAsia"/>
          <w:sz w:val="24"/>
          <w:lang w:val="en-US" w:eastAsia="zh-CN"/>
        </w:rPr>
        <w:t>评价指标的选择原则</w:t>
      </w:r>
      <w:bookmarkEnd w:id="6"/>
      <w:bookmarkEnd w:id="7"/>
      <w:bookmarkEnd w:id="8"/>
      <w:bookmarkEnd w:id="9"/>
      <w:bookmarkEnd w:id="10"/>
      <w:bookmarkEnd w:id="11"/>
      <w:bookmarkStart w:id="12" w:name="_Toc45112067"/>
      <w:bookmarkStart w:id="13" w:name="_Toc45622389"/>
      <w:bookmarkStart w:id="14" w:name="_Toc45112127"/>
      <w:bookmarkStart w:id="15" w:name="_Toc78098295"/>
      <w:bookmarkStart w:id="16" w:name="_Toc45621241"/>
      <w:bookmarkStart w:id="17" w:name="_Toc45622910"/>
      <w:r>
        <w:rPr>
          <w:rFonts w:hint="eastAsia"/>
          <w:sz w:val="24"/>
          <w:lang w:val="en-US" w:eastAsia="zh-CN"/>
        </w:rPr>
        <w:t>，二为指标体系评价原则</w:t>
      </w:r>
      <w:bookmarkEnd w:id="12"/>
      <w:bookmarkEnd w:id="13"/>
      <w:bookmarkEnd w:id="14"/>
      <w:bookmarkEnd w:id="15"/>
      <w:bookmarkEnd w:id="16"/>
      <w:bookmarkEnd w:id="17"/>
    </w:p>
    <w:p>
      <w:pPr>
        <w:numPr>
          <w:ilvl w:val="0"/>
          <w:numId w:val="4"/>
        </w:numPr>
        <w:spacing w:line="400" w:lineRule="exact"/>
        <w:ind w:left="425" w:leftChars="0" w:hanging="425" w:firstLineChars="0"/>
        <w:rPr>
          <w:rFonts w:hint="eastAsia"/>
          <w:sz w:val="24"/>
          <w:lang w:val="en-US" w:eastAsia="zh-CN"/>
        </w:rPr>
      </w:pPr>
      <w:r>
        <w:rPr>
          <w:rFonts w:hint="eastAsia"/>
          <w:sz w:val="24"/>
          <w:lang w:val="en-US" w:eastAsia="zh-CN"/>
        </w:rPr>
        <w:t>评价指标的选择原则</w:t>
      </w:r>
    </w:p>
    <w:p>
      <w:pPr>
        <w:spacing w:line="400" w:lineRule="exact"/>
        <w:ind w:firstLine="480" w:firstLineChars="200"/>
        <w:rPr>
          <w:rFonts w:hint="eastAsia"/>
          <w:sz w:val="24"/>
          <w:lang w:val="en-US" w:eastAsia="zh-CN"/>
        </w:rPr>
      </w:pPr>
      <w:r>
        <w:rPr>
          <w:rFonts w:hint="eastAsia"/>
          <w:sz w:val="24"/>
          <w:lang w:val="en-US" w:eastAsia="zh-CN"/>
        </w:rPr>
        <w:t>食品安全风险评价指标选择时要考虑指标总体数量是否适当，以及是否能够最有效的表达食品安全风险评价的特征性、规律性和目标性，应当具备全面性、代表性和可操作性，同时各项指标之间要尽量避免重复。</w:t>
      </w:r>
    </w:p>
    <w:p>
      <w:pPr>
        <w:numPr>
          <w:ilvl w:val="0"/>
          <w:numId w:val="4"/>
        </w:numPr>
        <w:spacing w:line="400" w:lineRule="exact"/>
        <w:ind w:left="425" w:leftChars="0" w:hanging="425" w:firstLineChars="0"/>
        <w:rPr>
          <w:rFonts w:hint="eastAsia"/>
          <w:sz w:val="24"/>
          <w:lang w:val="en-US" w:eastAsia="zh-CN"/>
        </w:rPr>
      </w:pPr>
      <w:r>
        <w:rPr>
          <w:rFonts w:hint="eastAsia"/>
          <w:sz w:val="24"/>
          <w:lang w:val="en-US" w:eastAsia="zh-CN"/>
        </w:rPr>
        <w:t>指标体系评价原则</w:t>
      </w:r>
    </w:p>
    <w:p>
      <w:pPr>
        <w:spacing w:line="400" w:lineRule="exact"/>
        <w:ind w:firstLine="480" w:firstLineChars="200"/>
        <w:rPr>
          <w:rFonts w:hint="eastAsia"/>
          <w:sz w:val="24"/>
          <w:lang w:val="en-US" w:eastAsia="zh-CN"/>
        </w:rPr>
      </w:pPr>
      <w:r>
        <w:rPr>
          <w:rFonts w:hint="eastAsia"/>
          <w:sz w:val="24"/>
          <w:lang w:val="en-US" w:eastAsia="zh-CN"/>
        </w:rPr>
        <w:t>依据指标选择原则，选取合适的指标形成相应的指标体系，进行食品安全风险评价，评价时要考虑食品从源头到餐桌的全过程，尤其是关键控制点，然后按需进行选择。评价时主观与客观相结合，全面考虑动态风险指标和静态风险指标来综合评价重大活动食品安全风险水平。</w:t>
      </w:r>
    </w:p>
    <w:p>
      <w:pPr>
        <w:pStyle w:val="23"/>
        <w:numPr>
          <w:ilvl w:val="0"/>
          <w:numId w:val="0"/>
        </w:numPr>
        <w:ind w:leftChars="0"/>
        <w:rPr>
          <w:rFonts w:hint="default"/>
          <w:b w:val="0"/>
          <w:bCs w:val="0"/>
          <w:sz w:val="24"/>
          <w:szCs w:val="24"/>
          <w:lang w:val="en-US" w:eastAsia="zh-CN"/>
        </w:rPr>
      </w:pPr>
      <w:r>
        <w:rPr>
          <w:rFonts w:hint="eastAsia"/>
          <w:color w:val="000000"/>
          <w:sz w:val="24"/>
          <w:szCs w:val="24"/>
          <w:highlight w:val="none"/>
          <w:lang w:val="en-US" w:eastAsia="zh-CN"/>
        </w:rPr>
        <w:t xml:space="preserve">2.2.3 </w:t>
      </w:r>
      <w:bookmarkStart w:id="18" w:name="_Toc45622911"/>
      <w:bookmarkStart w:id="19" w:name="_Toc45112128"/>
      <w:bookmarkStart w:id="20" w:name="_Toc45622390"/>
      <w:bookmarkStart w:id="21" w:name="_Toc78098296"/>
      <w:bookmarkStart w:id="22" w:name="_Toc45112068"/>
      <w:bookmarkStart w:id="23" w:name="_Toc45621242"/>
      <w:r>
        <w:rPr>
          <w:rFonts w:hint="eastAsia"/>
          <w:color w:val="000000"/>
          <w:sz w:val="24"/>
          <w:szCs w:val="24"/>
          <w:highlight w:val="none"/>
          <w:lang w:val="en-US" w:eastAsia="zh-CN"/>
        </w:rPr>
        <w:t>食品安全风险评价指标构成与分类</w:t>
      </w:r>
      <w:bookmarkEnd w:id="18"/>
      <w:bookmarkEnd w:id="19"/>
      <w:bookmarkEnd w:id="20"/>
      <w:bookmarkEnd w:id="21"/>
      <w:bookmarkEnd w:id="22"/>
      <w:bookmarkEnd w:id="23"/>
    </w:p>
    <w:p>
      <w:pPr>
        <w:spacing w:line="400" w:lineRule="exact"/>
        <w:ind w:firstLine="480" w:firstLineChars="200"/>
        <w:rPr>
          <w:rFonts w:hint="eastAsia"/>
          <w:sz w:val="24"/>
          <w:lang w:val="en-US" w:eastAsia="zh-CN"/>
        </w:rPr>
      </w:pPr>
      <w:r>
        <w:rPr>
          <w:rFonts w:hint="eastAsia"/>
          <w:sz w:val="24"/>
          <w:lang w:val="en-US" w:eastAsia="zh-CN"/>
        </w:rPr>
        <w:t>目前国内食品安全指标构成方式较多，参考了国内政策性文件的要求及重点活动特点，重大活动食品安全风险评价指标体系包含食品大类、食品亚类、毒害物大类、毒害物检测项目、检测结果等五级指标。</w:t>
      </w:r>
    </w:p>
    <w:p>
      <w:pPr>
        <w:rPr>
          <w:rFonts w:hint="eastAsia"/>
          <w:b/>
          <w:bCs/>
          <w:sz w:val="24"/>
          <w:szCs w:val="24"/>
          <w:lang w:val="en-US" w:eastAsia="zh-CN"/>
        </w:rPr>
      </w:pPr>
      <w:r>
        <w:rPr>
          <w:rFonts w:hint="eastAsia"/>
          <w:b/>
          <w:bCs/>
          <w:color w:val="000000"/>
          <w:sz w:val="24"/>
          <w:szCs w:val="24"/>
          <w:highlight w:val="none"/>
          <w:lang w:val="en-US" w:eastAsia="zh-CN"/>
        </w:rPr>
        <w:t xml:space="preserve">2.2.3.1 </w:t>
      </w:r>
      <w:r>
        <w:rPr>
          <w:rFonts w:hint="eastAsia"/>
          <w:b/>
          <w:bCs/>
          <w:color w:val="000000"/>
          <w:sz w:val="24"/>
          <w:szCs w:val="24"/>
          <w:highlight w:val="none"/>
        </w:rPr>
        <w:t>一级指标</w:t>
      </w:r>
      <w:r>
        <w:rPr>
          <w:rFonts w:hint="eastAsia"/>
          <w:b/>
          <w:bCs/>
          <w:color w:val="000000"/>
          <w:sz w:val="24"/>
          <w:szCs w:val="24"/>
          <w:highlight w:val="none"/>
          <w:lang w:eastAsia="zh-CN"/>
        </w:rPr>
        <w:t>和二级指标</w:t>
      </w:r>
      <w:r>
        <w:rPr>
          <w:rFonts w:hint="eastAsia"/>
          <w:b/>
          <w:bCs/>
          <w:color w:val="000000"/>
          <w:sz w:val="24"/>
          <w:szCs w:val="24"/>
          <w:highlight w:val="none"/>
        </w:rPr>
        <w:t>：食品大类</w:t>
      </w:r>
      <w:r>
        <w:rPr>
          <w:rFonts w:hint="eastAsia"/>
          <w:b/>
          <w:bCs/>
          <w:color w:val="000000"/>
          <w:sz w:val="24"/>
          <w:szCs w:val="24"/>
          <w:highlight w:val="none"/>
          <w:lang w:eastAsia="zh-CN"/>
        </w:rPr>
        <w:t>、食品亚类</w:t>
      </w:r>
      <w:r>
        <w:rPr>
          <w:rFonts w:hint="eastAsia"/>
          <w:b/>
          <w:bCs/>
          <w:color w:val="000000"/>
          <w:sz w:val="24"/>
          <w:szCs w:val="24"/>
          <w:highlight w:val="none"/>
        </w:rPr>
        <w:t>。</w:t>
      </w:r>
    </w:p>
    <w:p>
      <w:pPr>
        <w:spacing w:line="400" w:lineRule="exact"/>
        <w:ind w:firstLine="480" w:firstLineChars="200"/>
        <w:rPr>
          <w:rFonts w:hint="eastAsia"/>
          <w:sz w:val="24"/>
          <w:lang w:val="en-US" w:eastAsia="zh-CN"/>
        </w:rPr>
      </w:pPr>
      <w:r>
        <w:rPr>
          <w:rFonts w:hint="eastAsia"/>
          <w:sz w:val="24"/>
          <w:lang w:val="en-US" w:eastAsia="zh-CN"/>
        </w:rPr>
        <w:t>目前国内食品分类系统不统一，市场监督管理局发布的文件食品分类大致相同，卫健委发布的通用食品安全国家标准食品分类差距较大。</w:t>
      </w:r>
    </w:p>
    <w:p>
      <w:pPr>
        <w:spacing w:line="400" w:lineRule="exact"/>
        <w:ind w:firstLine="480" w:firstLineChars="200"/>
        <w:rPr>
          <w:rFonts w:hint="eastAsia"/>
          <w:sz w:val="24"/>
          <w:lang w:val="en-US" w:eastAsia="zh-CN"/>
        </w:rPr>
      </w:pPr>
      <w:r>
        <w:rPr>
          <w:rFonts w:hint="eastAsia"/>
          <w:sz w:val="24"/>
          <w:lang w:val="en-US" w:eastAsia="zh-CN"/>
        </w:rPr>
        <w:t>（一）市场监督管理局</w:t>
      </w:r>
    </w:p>
    <w:p>
      <w:pPr>
        <w:numPr>
          <w:ilvl w:val="0"/>
          <w:numId w:val="5"/>
        </w:numPr>
        <w:spacing w:line="400" w:lineRule="exact"/>
        <w:ind w:left="425" w:leftChars="0" w:hanging="425" w:firstLineChars="0"/>
        <w:rPr>
          <w:rFonts w:hint="default"/>
          <w:sz w:val="24"/>
          <w:lang w:val="en-US" w:eastAsia="zh-CN"/>
        </w:rPr>
      </w:pPr>
      <w:r>
        <w:rPr>
          <w:rFonts w:hint="eastAsia"/>
          <w:sz w:val="24"/>
          <w:lang w:val="en-US" w:eastAsia="zh-CN"/>
        </w:rPr>
        <w:t>食品生产许可分类目录</w:t>
      </w:r>
    </w:p>
    <w:p>
      <w:pPr>
        <w:bidi w:val="0"/>
        <w:rPr>
          <w:rFonts w:hint="eastAsia"/>
          <w:lang w:val="en-US" w:eastAsia="zh-CN"/>
        </w:rPr>
      </w:pPr>
      <w:r>
        <w:drawing>
          <wp:inline distT="0" distB="0" distL="114300" distR="114300">
            <wp:extent cx="3839210" cy="2959100"/>
            <wp:effectExtent l="0" t="0" r="127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839210" cy="2959100"/>
                    </a:xfrm>
                    <a:prstGeom prst="rect">
                      <a:avLst/>
                    </a:prstGeom>
                    <a:noFill/>
                    <a:ln>
                      <a:noFill/>
                    </a:ln>
                  </pic:spPr>
                </pic:pic>
              </a:graphicData>
            </a:graphic>
          </wp:inline>
        </w:drawing>
      </w:r>
    </w:p>
    <w:p>
      <w:pPr>
        <w:numPr>
          <w:ilvl w:val="0"/>
          <w:numId w:val="5"/>
        </w:numPr>
        <w:spacing w:line="400" w:lineRule="exact"/>
        <w:ind w:left="425" w:leftChars="0" w:hanging="425" w:firstLineChars="0"/>
        <w:rPr>
          <w:rFonts w:hint="eastAsia"/>
          <w:sz w:val="24"/>
          <w:lang w:val="en-US" w:eastAsia="zh-CN"/>
        </w:rPr>
      </w:pPr>
      <w:r>
        <w:rPr>
          <w:rFonts w:hint="eastAsia"/>
          <w:sz w:val="24"/>
          <w:lang w:val="en-US" w:eastAsia="zh-CN"/>
        </w:rPr>
        <w:t>国家食品安全监督抽检实施细则（2021年版）</w:t>
      </w:r>
    </w:p>
    <w:p>
      <w:pPr>
        <w:bidi w:val="0"/>
        <w:rPr>
          <w:rFonts w:hint="eastAsia"/>
          <w:lang w:val="en-US" w:eastAsia="zh-CN"/>
        </w:rPr>
      </w:pPr>
      <w:r>
        <w:drawing>
          <wp:inline distT="0" distB="0" distL="114300" distR="114300">
            <wp:extent cx="5271135" cy="1836420"/>
            <wp:effectExtent l="0" t="0" r="1905"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71135" cy="1836420"/>
                    </a:xfrm>
                    <a:prstGeom prst="rect">
                      <a:avLst/>
                    </a:prstGeom>
                    <a:noFill/>
                    <a:ln>
                      <a:noFill/>
                    </a:ln>
                  </pic:spPr>
                </pic:pic>
              </a:graphicData>
            </a:graphic>
          </wp:inline>
        </w:drawing>
      </w:r>
    </w:p>
    <w:p>
      <w:pPr>
        <w:bidi w:val="0"/>
      </w:pPr>
      <w:r>
        <w:drawing>
          <wp:inline distT="0" distB="0" distL="114300" distR="114300">
            <wp:extent cx="5271135" cy="2903220"/>
            <wp:effectExtent l="0" t="0" r="190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271135" cy="2903220"/>
                    </a:xfrm>
                    <a:prstGeom prst="rect">
                      <a:avLst/>
                    </a:prstGeom>
                    <a:noFill/>
                    <a:ln>
                      <a:noFill/>
                    </a:ln>
                  </pic:spPr>
                </pic:pic>
              </a:graphicData>
            </a:graphic>
          </wp:inline>
        </w:drawing>
      </w:r>
    </w:p>
    <w:p>
      <w:pPr>
        <w:numPr>
          <w:ilvl w:val="0"/>
          <w:numId w:val="5"/>
        </w:numPr>
        <w:spacing w:line="400" w:lineRule="exact"/>
        <w:ind w:left="425" w:leftChars="0" w:hanging="425" w:firstLineChars="0"/>
        <w:rPr>
          <w:rFonts w:hint="eastAsia"/>
          <w:sz w:val="24"/>
          <w:lang w:val="en-US" w:eastAsia="zh-CN"/>
        </w:rPr>
      </w:pPr>
      <w:r>
        <w:rPr>
          <w:rFonts w:hint="eastAsia"/>
          <w:sz w:val="24"/>
          <w:lang w:val="en-US" w:eastAsia="zh-CN"/>
        </w:rPr>
        <w:fldChar w:fldCharType="begin"/>
      </w:r>
      <w:r>
        <w:rPr>
          <w:rFonts w:hint="eastAsia"/>
          <w:sz w:val="24"/>
          <w:lang w:val="en-US" w:eastAsia="zh-CN"/>
        </w:rPr>
        <w:instrText xml:space="preserve"> HYPERLINK "http://yun2.foodvip.net/fmtadmin.php?moduleid=24&amp;file=index&amp;action=preview&amp;itemid=37799" \t "http://yun2.foodvip.net/_blank" </w:instrText>
      </w:r>
      <w:r>
        <w:rPr>
          <w:rFonts w:hint="eastAsia"/>
          <w:sz w:val="24"/>
          <w:lang w:val="en-US" w:eastAsia="zh-CN"/>
        </w:rPr>
        <w:fldChar w:fldCharType="separate"/>
      </w:r>
      <w:r>
        <w:rPr>
          <w:rFonts w:hint="eastAsia"/>
          <w:sz w:val="24"/>
          <w:lang w:val="en-US" w:eastAsia="zh-CN"/>
        </w:rPr>
        <w:t>2019年食品安全风险监测计划</w:t>
      </w:r>
      <w:r>
        <w:rPr>
          <w:rFonts w:hint="eastAsia"/>
          <w:sz w:val="24"/>
          <w:lang w:val="en-US" w:eastAsia="zh-CN"/>
        </w:rPr>
        <w:fldChar w:fldCharType="end"/>
      </w:r>
    </w:p>
    <w:p>
      <w:pPr>
        <w:widowControl w:val="0"/>
        <w:numPr>
          <w:ilvl w:val="0"/>
          <w:numId w:val="0"/>
        </w:numPr>
        <w:jc w:val="both"/>
        <w:rPr>
          <w:rFonts w:hint="eastAsia"/>
          <w:lang w:val="en-US" w:eastAsia="zh-CN"/>
        </w:rPr>
      </w:pPr>
      <w:r>
        <w:drawing>
          <wp:inline distT="0" distB="0" distL="114300" distR="114300">
            <wp:extent cx="5267325" cy="2776220"/>
            <wp:effectExtent l="0" t="0" r="5715" b="1270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67325" cy="2776220"/>
                    </a:xfrm>
                    <a:prstGeom prst="rect">
                      <a:avLst/>
                    </a:prstGeom>
                    <a:noFill/>
                    <a:ln>
                      <a:noFill/>
                    </a:ln>
                  </pic:spPr>
                </pic:pic>
              </a:graphicData>
            </a:graphic>
          </wp:inline>
        </w:drawing>
      </w:r>
    </w:p>
    <w:p>
      <w:pPr>
        <w:spacing w:line="400" w:lineRule="exact"/>
        <w:ind w:firstLine="480" w:firstLineChars="200"/>
        <w:rPr>
          <w:rFonts w:hint="eastAsia"/>
          <w:sz w:val="24"/>
          <w:lang w:val="en-US" w:eastAsia="zh-CN"/>
        </w:rPr>
      </w:pPr>
      <w:r>
        <w:rPr>
          <w:rFonts w:hint="eastAsia"/>
          <w:sz w:val="24"/>
          <w:lang w:val="en-US" w:eastAsia="zh-CN"/>
        </w:rPr>
        <w:t>（二）卫生健康委</w:t>
      </w:r>
    </w:p>
    <w:p>
      <w:pPr>
        <w:numPr>
          <w:ilvl w:val="0"/>
          <w:numId w:val="6"/>
        </w:numPr>
        <w:spacing w:line="400" w:lineRule="exact"/>
        <w:ind w:left="425" w:leftChars="0" w:hanging="425" w:firstLineChars="0"/>
        <w:rPr>
          <w:rFonts w:hint="default"/>
          <w:sz w:val="24"/>
          <w:lang w:val="en-US" w:eastAsia="zh-CN"/>
        </w:rPr>
      </w:pPr>
      <w:r>
        <w:rPr>
          <w:rFonts w:hint="eastAsia"/>
          <w:sz w:val="24"/>
          <w:lang w:val="en-US" w:eastAsia="zh-CN"/>
        </w:rPr>
        <w:t>使用标准，如GB 2760</w:t>
      </w:r>
    </w:p>
    <w:p>
      <w:pPr>
        <w:bidi w:val="0"/>
      </w:pPr>
      <w:r>
        <w:drawing>
          <wp:inline distT="0" distB="0" distL="114300" distR="114300">
            <wp:extent cx="2930525" cy="2712085"/>
            <wp:effectExtent l="0" t="0" r="10795"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2930525" cy="2712085"/>
                    </a:xfrm>
                    <a:prstGeom prst="rect">
                      <a:avLst/>
                    </a:prstGeom>
                    <a:noFill/>
                    <a:ln>
                      <a:noFill/>
                    </a:ln>
                  </pic:spPr>
                </pic:pic>
              </a:graphicData>
            </a:graphic>
          </wp:inline>
        </w:drawing>
      </w:r>
      <w:r>
        <w:drawing>
          <wp:inline distT="0" distB="0" distL="114300" distR="114300">
            <wp:extent cx="4277360" cy="1767840"/>
            <wp:effectExtent l="0" t="0" r="508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1"/>
                    <a:stretch>
                      <a:fillRect/>
                    </a:stretch>
                  </pic:blipFill>
                  <pic:spPr>
                    <a:xfrm>
                      <a:off x="0" y="0"/>
                      <a:ext cx="4277360" cy="1767840"/>
                    </a:xfrm>
                    <a:prstGeom prst="rect">
                      <a:avLst/>
                    </a:prstGeom>
                    <a:noFill/>
                    <a:ln>
                      <a:noFill/>
                    </a:ln>
                  </pic:spPr>
                </pic:pic>
              </a:graphicData>
            </a:graphic>
          </wp:inline>
        </w:drawing>
      </w:r>
    </w:p>
    <w:p>
      <w:pPr>
        <w:numPr>
          <w:ilvl w:val="0"/>
          <w:numId w:val="6"/>
        </w:numPr>
        <w:bidi w:val="0"/>
        <w:ind w:left="425" w:leftChars="0" w:hanging="425" w:firstLineChars="0"/>
        <w:rPr>
          <w:rFonts w:hint="default"/>
          <w:lang w:val="en-US" w:eastAsia="zh-CN"/>
        </w:rPr>
      </w:pPr>
      <w:bookmarkStart w:id="37" w:name="_GoBack"/>
      <w:r>
        <w:rPr>
          <w:rFonts w:hint="eastAsia"/>
          <w:lang w:val="en-US" w:eastAsia="zh-CN"/>
        </w:rPr>
        <w:t>限量标准，如GB 2761</w:t>
      </w:r>
    </w:p>
    <w:bookmarkEnd w:id="37"/>
    <w:p>
      <w:pPr>
        <w:bidi w:val="0"/>
        <w:rPr>
          <w:rFonts w:hint="eastAsia"/>
          <w:lang w:val="en-US" w:eastAsia="zh-CN"/>
        </w:rPr>
      </w:pPr>
      <w:r>
        <w:drawing>
          <wp:inline distT="0" distB="0" distL="114300" distR="114300">
            <wp:extent cx="2634615" cy="2475865"/>
            <wp:effectExtent l="0" t="0" r="1905" b="825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2634615" cy="2475865"/>
                    </a:xfrm>
                    <a:prstGeom prst="rect">
                      <a:avLst/>
                    </a:prstGeom>
                    <a:noFill/>
                    <a:ln>
                      <a:noFill/>
                    </a:ln>
                  </pic:spPr>
                </pic:pic>
              </a:graphicData>
            </a:graphic>
          </wp:inline>
        </w:drawing>
      </w:r>
      <w:r>
        <w:drawing>
          <wp:inline distT="0" distB="0" distL="114300" distR="114300">
            <wp:extent cx="2583815" cy="2498725"/>
            <wp:effectExtent l="0" t="0" r="6985" b="63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3"/>
                    <a:stretch>
                      <a:fillRect/>
                    </a:stretch>
                  </pic:blipFill>
                  <pic:spPr>
                    <a:xfrm>
                      <a:off x="0" y="0"/>
                      <a:ext cx="2583815" cy="2498725"/>
                    </a:xfrm>
                    <a:prstGeom prst="rect">
                      <a:avLst/>
                    </a:prstGeom>
                    <a:noFill/>
                    <a:ln>
                      <a:noFill/>
                    </a:ln>
                  </pic:spPr>
                </pic:pic>
              </a:graphicData>
            </a:graphic>
          </wp:inline>
        </w:drawing>
      </w:r>
    </w:p>
    <w:p>
      <w:pPr>
        <w:spacing w:line="400" w:lineRule="exact"/>
        <w:ind w:firstLine="480" w:firstLineChars="200"/>
        <w:rPr>
          <w:rFonts w:hint="eastAsia"/>
          <w:sz w:val="24"/>
          <w:lang w:val="en-US" w:eastAsia="zh-CN"/>
        </w:rPr>
      </w:pPr>
      <w:r>
        <w:rPr>
          <w:rFonts w:hint="eastAsia"/>
          <w:sz w:val="24"/>
          <w:lang w:val="en-US" w:eastAsia="zh-CN"/>
        </w:rPr>
        <w:t>食品安全风险评价主要针对供应商的产品，因此以“食品生产许可分类目录”为基础，结合重大活动实际举办的过程和食品安全风险评估需求，进行类别的划分。</w:t>
      </w:r>
    </w:p>
    <w:p>
      <w:pPr>
        <w:rPr>
          <w:rFonts w:hint="eastAsia"/>
          <w:b/>
          <w:bCs/>
          <w:color w:val="000000"/>
          <w:sz w:val="24"/>
          <w:szCs w:val="24"/>
          <w:highlight w:val="none"/>
          <w:lang w:val="en-US" w:eastAsia="zh-CN"/>
        </w:rPr>
      </w:pPr>
      <w:r>
        <w:rPr>
          <w:rFonts w:hint="eastAsia"/>
          <w:b/>
          <w:bCs/>
          <w:color w:val="000000"/>
          <w:sz w:val="24"/>
          <w:szCs w:val="24"/>
          <w:highlight w:val="none"/>
          <w:lang w:val="en-US" w:eastAsia="zh-CN"/>
        </w:rPr>
        <w:t>2.2.3.2 三级指标和四级指标：毒害物大类和毒害物检测项目。</w:t>
      </w:r>
    </w:p>
    <w:p>
      <w:pPr>
        <w:spacing w:line="400" w:lineRule="exact"/>
        <w:ind w:firstLine="480" w:firstLineChars="200"/>
        <w:rPr>
          <w:rFonts w:hint="eastAsia"/>
          <w:sz w:val="24"/>
          <w:lang w:val="en-US" w:eastAsia="zh-CN"/>
        </w:rPr>
      </w:pPr>
      <w:r>
        <w:rPr>
          <w:rFonts w:hint="eastAsia"/>
          <w:sz w:val="24"/>
          <w:lang w:val="en-US" w:eastAsia="zh-CN"/>
        </w:rPr>
        <w:t>食品安全法第三十四条：禁止止生产经营下列食品、食品添加剂、食品相关产品：</w:t>
      </w:r>
    </w:p>
    <w:p>
      <w:pPr>
        <w:numPr>
          <w:ilvl w:val="0"/>
          <w:numId w:val="7"/>
        </w:numPr>
        <w:bidi w:val="0"/>
        <w:ind w:left="0" w:leftChars="0" w:firstLine="420" w:firstLineChars="0"/>
        <w:rPr>
          <w:rFonts w:ascii="宋体" w:hAnsi="宋体" w:eastAsia="宋体" w:cs="宋体"/>
          <w:sz w:val="21"/>
          <w:szCs w:val="21"/>
        </w:rPr>
      </w:pPr>
      <w:r>
        <w:rPr>
          <w:rFonts w:ascii="宋体" w:hAnsi="宋体" w:eastAsia="宋体" w:cs="宋体"/>
          <w:sz w:val="21"/>
          <w:szCs w:val="21"/>
        </w:rPr>
        <w:t>用非食品原料生产的食品或者添加食品添加剂以外的化学物质和其他可能危害人体健康物质的食品，或者用回收食品作为原料生产的食品；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致病性微生物，农药残留、兽药残留、生物毒素、重金属等污染物质以及其他危害人体健康的物质含量超过食品安全标准限量的食品、食品添加剂、食品相关产品；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用超过保质期的食品原料、食品添加剂生产的食品、食品添加剂；</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超范围、超限量使用食品添加剂的食品；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营养成分不符合食品安全标准的专供婴幼儿和其他特定人群的主辅食品；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腐败变质、油脂酸败、霉变生虫、污秽不洁、混有异物、掺假掺杂或者感官性状异常的食品、食品添加剂；</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病死、毒死或者死因不明的禽、畜、兽、水产动物肉类及其制品；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未按规定进行检疫或者检疫不合格的肉类，或者未经检验或者检验不合格的肉类制品；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被包装材料、容器、运输工具等污染的食品、食品添加剂；</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标注虚假生产日期、保质期或者超过保质期的食品、食品添加剂；</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无标签的预包装食品、食品添加剂；</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国家为防病等特殊需要明令禁止生产经营的食品；</w:t>
      </w:r>
    </w:p>
    <w:p>
      <w:pPr>
        <w:numPr>
          <w:ilvl w:val="0"/>
          <w:numId w:val="7"/>
        </w:numPr>
        <w:bidi w:val="0"/>
        <w:ind w:left="0" w:leftChars="0" w:firstLine="420" w:firstLineChars="0"/>
        <w:rPr>
          <w:rFonts w:hint="eastAsia"/>
          <w:sz w:val="21"/>
          <w:szCs w:val="21"/>
          <w:lang w:val="en-US" w:eastAsia="zh-CN"/>
        </w:rPr>
      </w:pPr>
      <w:r>
        <w:rPr>
          <w:rFonts w:ascii="宋体" w:hAnsi="宋体" w:eastAsia="宋体" w:cs="宋体"/>
          <w:sz w:val="21"/>
          <w:szCs w:val="21"/>
        </w:rPr>
        <w:t>其他不符合法律、法规或者食品安全标准的食品、食品添加剂、食品相关产品。</w:t>
      </w:r>
    </w:p>
    <w:p>
      <w:pPr>
        <w:spacing w:line="400" w:lineRule="exact"/>
        <w:ind w:firstLine="480" w:firstLineChars="200"/>
        <w:rPr>
          <w:rFonts w:hint="eastAsia"/>
          <w:sz w:val="24"/>
          <w:lang w:val="en-US" w:eastAsia="zh-CN"/>
        </w:rPr>
      </w:pPr>
      <w:r>
        <w:rPr>
          <w:rFonts w:hint="eastAsia"/>
          <w:sz w:val="24"/>
          <w:lang w:val="en-US" w:eastAsia="zh-CN"/>
        </w:rPr>
        <w:t>综合考虑食品安全法、食品安全国家标准、食品安全监督抽检实施细则的规定，根据该次重大活动的特点按需选择抽检时所检测的毒害物大类和具体毒害物质。</w:t>
      </w:r>
    </w:p>
    <w:p>
      <w:pPr>
        <w:rPr>
          <w:rFonts w:hint="eastAsia"/>
          <w:b/>
          <w:bCs/>
          <w:color w:val="000000"/>
          <w:sz w:val="24"/>
          <w:szCs w:val="24"/>
          <w:highlight w:val="none"/>
          <w:lang w:val="en-US" w:eastAsia="zh-CN"/>
        </w:rPr>
      </w:pPr>
      <w:r>
        <w:rPr>
          <w:rFonts w:hint="eastAsia"/>
          <w:b/>
          <w:bCs/>
          <w:color w:val="000000"/>
          <w:sz w:val="24"/>
          <w:szCs w:val="24"/>
          <w:highlight w:val="none"/>
          <w:lang w:val="en-US" w:eastAsia="zh-CN"/>
        </w:rPr>
        <w:t>2.2.3.3 五级指标：检测结果。</w:t>
      </w:r>
    </w:p>
    <w:p>
      <w:pPr>
        <w:spacing w:line="400" w:lineRule="exact"/>
        <w:ind w:firstLine="480" w:firstLineChars="200"/>
        <w:rPr>
          <w:rFonts w:hint="default"/>
          <w:sz w:val="24"/>
          <w:lang w:val="en-US" w:eastAsia="zh-CN"/>
        </w:rPr>
      </w:pPr>
      <w:r>
        <w:rPr>
          <w:rFonts w:hint="eastAsia"/>
          <w:sz w:val="24"/>
          <w:lang w:val="en-US" w:eastAsia="zh-CN"/>
        </w:rPr>
        <w:t>根据具体毒害物检测项目进行的定性或定量检测结果，包括平均含量、超限率、超限程度、毒力危害、发病速率，其中前3项为定量指标，后2项为定性指标。</w:t>
      </w:r>
    </w:p>
    <w:p>
      <w:pPr>
        <w:pStyle w:val="2"/>
        <w:keepNext/>
        <w:keepLines/>
        <w:pageBreakBefore w:val="0"/>
        <w:widowControl w:val="0"/>
        <w:kinsoku/>
        <w:wordWrap/>
        <w:overflowPunct/>
        <w:topLinePunct w:val="0"/>
        <w:autoSpaceDE/>
        <w:autoSpaceDN/>
        <w:bidi w:val="0"/>
        <w:adjustRightInd/>
        <w:snapToGrid/>
        <w:spacing w:before="156" w:after="156" w:line="240" w:lineRule="auto"/>
        <w:textAlignment w:val="auto"/>
        <w:rPr>
          <w:rFonts w:hint="eastAsia"/>
          <w:color w:val="000000"/>
          <w:highlight w:val="none"/>
          <w:lang w:val="en-US" w:eastAsia="zh-CN"/>
        </w:rPr>
      </w:pPr>
      <w:r>
        <w:rPr>
          <w:rFonts w:hint="eastAsia"/>
          <w:color w:val="000000"/>
          <w:highlight w:val="none"/>
          <w:lang w:val="en-US" w:eastAsia="zh-CN"/>
        </w:rPr>
        <w:t>2.2.4 食品安全风险评价指标计算</w:t>
      </w:r>
    </w:p>
    <w:p>
      <w:pPr>
        <w:spacing w:line="400" w:lineRule="exact"/>
        <w:ind w:firstLine="480" w:firstLineChars="200"/>
        <w:rPr>
          <w:rFonts w:hint="eastAsia"/>
          <w:sz w:val="24"/>
          <w:lang w:val="en-US" w:eastAsia="zh-CN"/>
        </w:rPr>
      </w:pPr>
      <w:r>
        <w:rPr>
          <w:rFonts w:hint="eastAsia"/>
          <w:sz w:val="24"/>
          <w:lang w:val="en-US" w:eastAsia="zh-CN"/>
        </w:rPr>
        <w:t>根据检测结果按照如下流程进行计算。然后根据模型计算最终结果。</w:t>
      </w:r>
    </w:p>
    <w:p>
      <w:pPr>
        <w:widowControl/>
        <w:tabs>
          <w:tab w:val="center" w:pos="4201"/>
          <w:tab w:val="right" w:leader="dot" w:pos="9298"/>
        </w:tabs>
        <w:autoSpaceDE w:val="0"/>
        <w:autoSpaceDN w:val="0"/>
        <w:ind w:firstLine="420" w:firstLineChars="200"/>
        <w:rPr>
          <w:rFonts w:hint="eastAsia" w:ascii="宋体"/>
          <w:color w:val="000000"/>
          <w:kern w:val="0"/>
          <w:szCs w:val="20"/>
          <w:highlight w:val="none"/>
        </w:rPr>
      </w:pPr>
      <w:r>
        <w:rPr>
          <w:rFonts w:ascii="等线" w:hAnsi="等线" w:eastAsia="等线"/>
          <w:color w:val="000000"/>
          <w:szCs w:val="22"/>
          <w:highlight w:val="none"/>
        </w:rPr>
        <w:drawing>
          <wp:inline distT="0" distB="0" distL="114300" distR="114300">
            <wp:extent cx="1515110" cy="2672715"/>
            <wp:effectExtent l="0" t="0" r="8890"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1515110" cy="2672715"/>
                    </a:xfrm>
                    <a:prstGeom prst="rect">
                      <a:avLst/>
                    </a:prstGeom>
                    <a:noFill/>
                    <a:ln>
                      <a:noFill/>
                    </a:ln>
                  </pic:spPr>
                </pic:pic>
              </a:graphicData>
            </a:graphic>
          </wp:inline>
        </w:drawing>
      </w:r>
    </w:p>
    <w:p>
      <w:pPr>
        <w:spacing w:line="400" w:lineRule="exact"/>
        <w:ind w:firstLine="480" w:firstLineChars="200"/>
        <w:rPr>
          <w:rFonts w:hint="eastAsia"/>
          <w:sz w:val="24"/>
          <w:lang w:val="en-US" w:eastAsia="zh-CN"/>
        </w:rPr>
      </w:pPr>
      <w:r>
        <w:rPr>
          <w:rFonts w:hint="eastAsia"/>
          <w:sz w:val="24"/>
          <w:lang w:val="en-US" w:eastAsia="zh-CN"/>
        </w:rPr>
        <w:t>在实际重大活动风险评价中，应根据重大活动的特点并依据指标体系通用结构模型灵活科学的建立适合实际场景的指标体系。</w:t>
      </w:r>
    </w:p>
    <w:p>
      <w:pPr>
        <w:spacing w:line="400" w:lineRule="exact"/>
        <w:ind w:firstLine="480" w:firstLineChars="200"/>
        <w:rPr>
          <w:rFonts w:hint="eastAsia"/>
          <w:sz w:val="24"/>
          <w:lang w:val="en-US" w:eastAsia="zh-CN"/>
        </w:rPr>
      </w:pPr>
      <w:r>
        <w:rPr>
          <w:rFonts w:hint="eastAsia"/>
          <w:sz w:val="24"/>
          <w:lang w:val="en-US" w:eastAsia="zh-CN"/>
        </w:rPr>
        <w:t>五级评价指标的计算过程如下：</w:t>
      </w:r>
    </w:p>
    <w:p>
      <w:pPr>
        <w:spacing w:line="400" w:lineRule="exact"/>
        <w:ind w:firstLine="480" w:firstLineChars="200"/>
        <w:rPr>
          <w:rFonts w:hint="eastAsia"/>
          <w:sz w:val="24"/>
          <w:lang w:val="en-US" w:eastAsia="zh-CN"/>
        </w:rPr>
      </w:pPr>
      <w:r>
        <w:rPr>
          <w:rFonts w:hint="eastAsia"/>
          <w:sz w:val="24"/>
          <w:lang w:val="en-US" w:eastAsia="zh-CN"/>
        </w:rPr>
        <w:t>a） 专家打分，采用层次分析法确定五级指标的权重；</w:t>
      </w:r>
    </w:p>
    <w:p>
      <w:pPr>
        <w:spacing w:line="400" w:lineRule="exact"/>
        <w:ind w:firstLine="480" w:firstLineChars="200"/>
        <w:rPr>
          <w:rFonts w:hint="eastAsia"/>
          <w:sz w:val="24"/>
          <w:lang w:val="en-US" w:eastAsia="zh-CN"/>
        </w:rPr>
      </w:pPr>
      <w:r>
        <w:rPr>
          <w:rFonts w:hint="eastAsia"/>
          <w:sz w:val="24"/>
          <w:lang w:val="en-US" w:eastAsia="zh-CN"/>
        </w:rPr>
        <w:t>b） 由五级指标计算四级指标，进而由低级指标计算高级指标值；</w:t>
      </w:r>
    </w:p>
    <w:p>
      <w:pPr>
        <w:spacing w:line="400" w:lineRule="exact"/>
        <w:ind w:firstLine="480" w:firstLineChars="200"/>
        <w:rPr>
          <w:rFonts w:hint="eastAsia"/>
          <w:sz w:val="24"/>
          <w:lang w:val="en-US" w:eastAsia="zh-CN"/>
        </w:rPr>
      </w:pPr>
      <w:r>
        <w:rPr>
          <w:rFonts w:hint="eastAsia"/>
          <w:sz w:val="24"/>
          <w:lang w:val="en-US" w:eastAsia="zh-CN"/>
        </w:rPr>
        <w:t>c） 分别计算各大类食品的风险等级，进而预测重大活动食品安全整体风险等级。</w:t>
      </w:r>
    </w:p>
    <w:p>
      <w:pPr>
        <w:bidi w:val="0"/>
      </w:pPr>
    </w:p>
    <w:p>
      <w:pPr>
        <w:pStyle w:val="24"/>
        <w:numPr>
          <w:numId w:val="0"/>
        </w:numPr>
        <w:ind w:leftChars="0"/>
        <w:rPr>
          <w:color w:val="000000"/>
          <w:highlight w:val="none"/>
        </w:rPr>
      </w:pPr>
      <w:bookmarkStart w:id="24" w:name="_Toc78098299"/>
      <w:bookmarkStart w:id="25" w:name="_Toc45622913"/>
      <w:bookmarkStart w:id="26" w:name="_Toc45622392"/>
      <w:bookmarkStart w:id="27" w:name="_Toc43411072"/>
      <w:bookmarkStart w:id="28" w:name="_Toc45621244"/>
      <w:bookmarkStart w:id="29" w:name="_Toc43410864"/>
      <w:bookmarkStart w:id="30" w:name="_Toc45112130"/>
      <w:bookmarkStart w:id="31" w:name="_Toc43406165"/>
      <w:bookmarkStart w:id="32" w:name="_Toc43410918"/>
      <w:bookmarkStart w:id="33" w:name="_Toc43410781"/>
      <w:bookmarkStart w:id="34" w:name="_Toc45112070"/>
      <w:bookmarkStart w:id="35" w:name="_Toc43409160"/>
      <w:bookmarkStart w:id="36" w:name="_Toc43406468"/>
      <w:r>
        <w:rPr>
          <w:rFonts w:hint="eastAsia"/>
          <w:color w:val="000000"/>
          <w:highlight w:val="none"/>
          <w:lang w:val="en-US" w:eastAsia="zh-CN"/>
        </w:rPr>
        <w:t xml:space="preserve">2.2.5 </w:t>
      </w:r>
      <w:r>
        <w:rPr>
          <w:rFonts w:hint="eastAsia"/>
          <w:color w:val="000000"/>
          <w:highlight w:val="none"/>
        </w:rPr>
        <w:t>指标体系的动态性</w:t>
      </w:r>
      <w:bookmarkEnd w:id="24"/>
      <w:bookmarkEnd w:id="25"/>
      <w:bookmarkEnd w:id="26"/>
      <w:bookmarkEnd w:id="27"/>
      <w:bookmarkEnd w:id="28"/>
      <w:bookmarkEnd w:id="29"/>
      <w:bookmarkEnd w:id="30"/>
      <w:bookmarkEnd w:id="31"/>
      <w:bookmarkEnd w:id="32"/>
      <w:bookmarkEnd w:id="33"/>
      <w:bookmarkEnd w:id="34"/>
      <w:bookmarkEnd w:id="35"/>
      <w:bookmarkEnd w:id="36"/>
    </w:p>
    <w:p>
      <w:pPr>
        <w:spacing w:line="400" w:lineRule="exact"/>
        <w:ind w:firstLine="480" w:firstLineChars="200"/>
        <w:rPr>
          <w:rFonts w:hint="eastAsia"/>
          <w:sz w:val="24"/>
          <w:lang w:val="en-US" w:eastAsia="zh-CN"/>
        </w:rPr>
      </w:pPr>
      <w:r>
        <w:rPr>
          <w:rFonts w:hint="eastAsia"/>
          <w:sz w:val="24"/>
          <w:lang w:val="en-US" w:eastAsia="zh-CN"/>
        </w:rPr>
        <w:t>风险是随时间而变化的，方法维度、时间维度和逻辑维度任何一个维度的因素发生变化，风险随之变化。风险指标体系建立是一个动态的过程，这就要求实施动态的风险评价与风险控制，即要定期进行风险评价。一般而言，当出现以下情况时，应该重新进行风险评价：</w:t>
      </w:r>
    </w:p>
    <w:p>
      <w:pPr>
        <w:spacing w:line="400" w:lineRule="exact"/>
        <w:ind w:firstLine="480" w:firstLineChars="200"/>
        <w:rPr>
          <w:rFonts w:hint="eastAsia"/>
          <w:sz w:val="24"/>
          <w:lang w:val="en-US" w:eastAsia="zh-CN"/>
        </w:rPr>
      </w:pPr>
      <w:r>
        <w:rPr>
          <w:rFonts w:hint="eastAsia"/>
          <w:sz w:val="24"/>
          <w:lang w:val="en-US" w:eastAsia="zh-CN"/>
        </w:rPr>
        <w:t>——当系统发生重大变更时；</w:t>
      </w:r>
    </w:p>
    <w:p>
      <w:pPr>
        <w:spacing w:line="400" w:lineRule="exact"/>
        <w:ind w:firstLine="480" w:firstLineChars="200"/>
        <w:rPr>
          <w:rFonts w:hint="eastAsia"/>
          <w:sz w:val="24"/>
          <w:lang w:val="en-US" w:eastAsia="zh-CN"/>
        </w:rPr>
      </w:pPr>
      <w:r>
        <w:rPr>
          <w:rFonts w:hint="eastAsia"/>
          <w:sz w:val="24"/>
          <w:lang w:val="en-US" w:eastAsia="zh-CN"/>
        </w:rPr>
        <w:t>——发生严重食品安全事故时；</w:t>
      </w:r>
    </w:p>
    <w:p>
      <w:pPr>
        <w:spacing w:line="400" w:lineRule="exact"/>
        <w:ind w:firstLine="480" w:firstLineChars="200"/>
        <w:rPr>
          <w:rFonts w:hint="eastAsia"/>
          <w:sz w:val="24"/>
          <w:lang w:val="en-US" w:eastAsia="zh-CN"/>
        </w:rPr>
      </w:pPr>
      <w:r>
        <w:rPr>
          <w:rFonts w:hint="eastAsia"/>
          <w:sz w:val="24"/>
          <w:lang w:val="en-US" w:eastAsia="zh-CN"/>
        </w:rPr>
        <w:t>——其他必要情况时。</w:t>
      </w:r>
    </w:p>
    <w:p>
      <w:pPr>
        <w:spacing w:line="400" w:lineRule="exact"/>
        <w:ind w:firstLine="480" w:firstLineChars="200"/>
        <w:rPr>
          <w:rFonts w:hint="eastAsia"/>
          <w:sz w:val="24"/>
          <w:lang w:val="en-US" w:eastAsia="zh-CN"/>
        </w:rPr>
      </w:pPr>
      <w:r>
        <w:rPr>
          <w:rFonts w:hint="eastAsia"/>
          <w:sz w:val="24"/>
          <w:lang w:val="en-US" w:eastAsia="zh-CN"/>
        </w:rPr>
        <w:t>合理的风险评价指标体系对于降低、消除重大活动食品安全风险具有重要作用，因此重大活动保障人员需考虑指标体系的动态性、时效性特点，确保指标体系的合理性。</w:t>
      </w:r>
    </w:p>
    <w:p>
      <w:pPr>
        <w:pStyle w:val="2"/>
        <w:spacing w:before="156" w:after="156"/>
        <w:rPr>
          <w:rFonts w:hint="eastAsia"/>
        </w:rPr>
      </w:pPr>
      <w:r>
        <w:rPr>
          <w:rFonts w:hint="eastAsia"/>
          <w:lang w:val="en-US" w:eastAsia="zh-CN"/>
        </w:rPr>
        <w:t>3、</w:t>
      </w:r>
      <w:r>
        <w:rPr>
          <w:rFonts w:hint="eastAsia"/>
        </w:rPr>
        <w:t>标准涉及的相关知识产权说明</w:t>
      </w:r>
    </w:p>
    <w:p>
      <w:pPr>
        <w:spacing w:line="400" w:lineRule="exact"/>
        <w:ind w:firstLine="480" w:firstLineChars="200"/>
        <w:rPr>
          <w:sz w:val="24"/>
        </w:rPr>
      </w:pPr>
      <w:r>
        <w:rPr>
          <w:rFonts w:hint="eastAsia"/>
          <w:sz w:val="24"/>
        </w:rPr>
        <w:t>本标准不涉及专利问题。</w:t>
      </w:r>
    </w:p>
    <w:p>
      <w:pPr>
        <w:pStyle w:val="2"/>
        <w:spacing w:before="156" w:after="156"/>
      </w:pPr>
      <w:r>
        <w:rPr>
          <w:rFonts w:hint="eastAsia"/>
        </w:rPr>
        <w:t>4、与现行法律法规、强制性标准和其他有关标准的关系，采用国际标准的程度及水平的简要说明</w:t>
      </w:r>
    </w:p>
    <w:p>
      <w:pPr>
        <w:spacing w:line="400" w:lineRule="atLeast"/>
        <w:ind w:firstLine="480" w:firstLineChars="200"/>
        <w:rPr>
          <w:sz w:val="24"/>
        </w:rPr>
      </w:pPr>
      <w:r>
        <w:rPr>
          <w:rFonts w:hint="eastAsia"/>
          <w:sz w:val="24"/>
        </w:rPr>
        <w:t>本标准符合相关法律法规要求，技术指标不低于强制性国家标准相关技术要求，本标准没有采用国际标准。</w:t>
      </w:r>
    </w:p>
    <w:p>
      <w:pPr>
        <w:pStyle w:val="2"/>
        <w:spacing w:before="156" w:after="156"/>
      </w:pPr>
      <w:r>
        <w:rPr>
          <w:rFonts w:hint="eastAsia"/>
        </w:rPr>
        <w:t>5、贯彻促进会标准的要求和措施建议（包括组织措施、技术措施、过渡办法等内容）、标准实施建议等；</w:t>
      </w:r>
    </w:p>
    <w:p>
      <w:pPr>
        <w:spacing w:line="400" w:lineRule="exact"/>
        <w:ind w:firstLine="480" w:firstLineChars="200"/>
        <w:rPr>
          <w:sz w:val="24"/>
        </w:rPr>
      </w:pPr>
      <w:r>
        <w:rPr>
          <w:rFonts w:hint="eastAsia"/>
          <w:sz w:val="24"/>
        </w:rPr>
        <w:t>对于贯彻执行此标准的要求和措施建议：</w:t>
      </w:r>
    </w:p>
    <w:p>
      <w:pPr>
        <w:spacing w:line="400" w:lineRule="exact"/>
        <w:ind w:firstLine="480" w:firstLineChars="200"/>
        <w:rPr>
          <w:sz w:val="24"/>
        </w:rPr>
      </w:pPr>
      <w:r>
        <w:rPr>
          <w:sz w:val="24"/>
        </w:rPr>
        <w:t>本标准颁布、贯彻实施前会及时在公众媒体、行业内部公开宣传。使相关单位能够积极主动的参加培训、结合本单位实际学习研究本标准并准备贯彻实施应用。标准归口单位进行宣贯指导</w:t>
      </w:r>
      <w:r>
        <w:rPr>
          <w:rFonts w:hint="eastAsia"/>
          <w:sz w:val="24"/>
        </w:rPr>
        <w:t>。</w:t>
      </w:r>
    </w:p>
    <w:p>
      <w:pPr>
        <w:pStyle w:val="2"/>
        <w:numPr>
          <w:ilvl w:val="0"/>
          <w:numId w:val="8"/>
        </w:numPr>
        <w:spacing w:before="156" w:after="156"/>
      </w:pPr>
      <w:r>
        <w:rPr>
          <w:rFonts w:hint="eastAsia"/>
        </w:rPr>
        <w:t>其他需要说明的事项</w:t>
      </w:r>
    </w:p>
    <w:p>
      <w:pPr>
        <w:spacing w:line="400" w:lineRule="exact"/>
        <w:ind w:firstLine="420" w:firstLineChars="200"/>
      </w:pPr>
      <w:r>
        <w:rPr>
          <w:rFonts w:hint="eastAsia"/>
        </w:rPr>
        <w:t>无</w:t>
      </w:r>
    </w:p>
    <w:sectPr>
      <w:footerReference r:id="rId4"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snapToGrid w:val="0"/>
        <w:rPr>
          <w:rFonts w:hint="eastAsia"/>
        </w:rPr>
      </w:pPr>
      <w:r>
        <w:rPr>
          <w:rStyle w:val="15"/>
        </w:rPr>
        <w:footnoteRef/>
      </w:r>
      <w:r>
        <w:t xml:space="preserve"> </w:t>
      </w:r>
      <w:r>
        <w:rPr>
          <w:rFonts w:hint="eastAsia"/>
        </w:rPr>
        <w:t>参见戴金增、林立军《重大活动食品安全与卫生监督保障》，杭州:浙江工商大学出版社，2016年，第4页。</w:t>
      </w:r>
    </w:p>
    <w:p>
      <w:pPr>
        <w:pStyle w:val="9"/>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2DF27"/>
    <w:multiLevelType w:val="singleLevel"/>
    <w:tmpl w:val="B122DF27"/>
    <w:lvl w:ilvl="0" w:tentative="0">
      <w:start w:val="1"/>
      <w:numFmt w:val="lowerLetter"/>
      <w:lvlText w:val="%1."/>
      <w:lvlJc w:val="left"/>
      <w:pPr>
        <w:ind w:left="425" w:hanging="425"/>
      </w:pPr>
      <w:rPr>
        <w:rFonts w:hint="default"/>
      </w:rPr>
    </w:lvl>
  </w:abstractNum>
  <w:abstractNum w:abstractNumId="1">
    <w:nsid w:val="191D98BB"/>
    <w:multiLevelType w:val="singleLevel"/>
    <w:tmpl w:val="191D98BB"/>
    <w:lvl w:ilvl="0" w:tentative="0">
      <w:start w:val="1"/>
      <w:numFmt w:val="lowerLetter"/>
      <w:lvlText w:val="%1."/>
      <w:lvlJc w:val="left"/>
      <w:pPr>
        <w:ind w:left="425" w:hanging="425"/>
      </w:pPr>
      <w:rPr>
        <w:rFonts w:hint="default"/>
      </w:rPr>
    </w:lvl>
  </w:abstractNum>
  <w:abstractNum w:abstractNumId="2">
    <w:nsid w:val="1FC91163"/>
    <w:multiLevelType w:val="multilevel"/>
    <w:tmpl w:val="1FC91163"/>
    <w:lvl w:ilvl="0" w:tentative="0">
      <w:start w:val="1"/>
      <w:numFmt w:val="decimal"/>
      <w:pStyle w:val="2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B73D237"/>
    <w:multiLevelType w:val="singleLevel"/>
    <w:tmpl w:val="2B73D237"/>
    <w:lvl w:ilvl="0" w:tentative="0">
      <w:start w:val="1"/>
      <w:numFmt w:val="lowerLetter"/>
      <w:lvlText w:val="%1."/>
      <w:lvlJc w:val="left"/>
      <w:pPr>
        <w:ind w:left="425" w:hanging="425"/>
      </w:pPr>
      <w:rPr>
        <w:rFonts w:hint="default"/>
      </w:rPr>
    </w:lvl>
  </w:abstractNum>
  <w:abstractNum w:abstractNumId="4">
    <w:nsid w:val="2C5917C3"/>
    <w:multiLevelType w:val="multilevel"/>
    <w:tmpl w:val="2C5917C3"/>
    <w:lvl w:ilvl="0" w:tentative="0">
      <w:start w:val="1"/>
      <w:numFmt w:val="none"/>
      <w:pStyle w:val="25"/>
      <w:suff w:val="nothing"/>
      <w:lvlText w:val="%1——"/>
      <w:lvlJc w:val="left"/>
      <w:pPr>
        <w:ind w:left="1259"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1D93769"/>
    <w:multiLevelType w:val="singleLevel"/>
    <w:tmpl w:val="31D93769"/>
    <w:lvl w:ilvl="0" w:tentative="0">
      <w:start w:val="1"/>
      <w:numFmt w:val="chineseCounting"/>
      <w:suff w:val="nothing"/>
      <w:lvlText w:val="（%1）"/>
      <w:lvlJc w:val="left"/>
      <w:pPr>
        <w:ind w:left="0" w:firstLine="420"/>
      </w:pPr>
      <w:rPr>
        <w:rFonts w:hint="eastAsia"/>
      </w:rPr>
    </w:lvl>
  </w:abstractNum>
  <w:abstractNum w:abstractNumId="6">
    <w:nsid w:val="5B1C4FD9"/>
    <w:multiLevelType w:val="singleLevel"/>
    <w:tmpl w:val="5B1C4FD9"/>
    <w:lvl w:ilvl="0" w:tentative="0">
      <w:start w:val="1"/>
      <w:numFmt w:val="lowerLetter"/>
      <w:lvlText w:val="%1."/>
      <w:lvlJc w:val="left"/>
      <w:pPr>
        <w:ind w:left="425" w:hanging="425"/>
      </w:pPr>
      <w:rPr>
        <w:rFonts w:hint="default"/>
      </w:rPr>
    </w:lvl>
  </w:abstractNum>
  <w:abstractNum w:abstractNumId="7">
    <w:nsid w:val="770627AA"/>
    <w:multiLevelType w:val="singleLevel"/>
    <w:tmpl w:val="770627AA"/>
    <w:lvl w:ilvl="0" w:tentative="0">
      <w:start w:val="6"/>
      <w:numFmt w:val="decimal"/>
      <w:suff w:val="nothing"/>
      <w:lvlText w:val="%1、"/>
      <w:lvlJc w:val="left"/>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E1"/>
    <w:rsid w:val="003A3721"/>
    <w:rsid w:val="00BB7CBC"/>
    <w:rsid w:val="00D74C2B"/>
    <w:rsid w:val="00ED53E1"/>
    <w:rsid w:val="00F971AC"/>
    <w:rsid w:val="01872DAD"/>
    <w:rsid w:val="01FC6340"/>
    <w:rsid w:val="020E3881"/>
    <w:rsid w:val="02F0165B"/>
    <w:rsid w:val="02FC5AEF"/>
    <w:rsid w:val="04D56532"/>
    <w:rsid w:val="063518FA"/>
    <w:rsid w:val="06396175"/>
    <w:rsid w:val="074F1358"/>
    <w:rsid w:val="075C5FE8"/>
    <w:rsid w:val="07970832"/>
    <w:rsid w:val="07A075C7"/>
    <w:rsid w:val="07DA47AE"/>
    <w:rsid w:val="08E25EE3"/>
    <w:rsid w:val="0A2C0BAA"/>
    <w:rsid w:val="0A8D6AC7"/>
    <w:rsid w:val="0DFD1FBE"/>
    <w:rsid w:val="0E004DA8"/>
    <w:rsid w:val="0E3C506C"/>
    <w:rsid w:val="0E590F9D"/>
    <w:rsid w:val="0F7713CE"/>
    <w:rsid w:val="143068FA"/>
    <w:rsid w:val="14D55951"/>
    <w:rsid w:val="15321D44"/>
    <w:rsid w:val="15811340"/>
    <w:rsid w:val="15B61899"/>
    <w:rsid w:val="16A47D46"/>
    <w:rsid w:val="178C28EA"/>
    <w:rsid w:val="18306ADF"/>
    <w:rsid w:val="18FE73F2"/>
    <w:rsid w:val="19AC6A8A"/>
    <w:rsid w:val="1A8A08E9"/>
    <w:rsid w:val="1ADF379C"/>
    <w:rsid w:val="1B273553"/>
    <w:rsid w:val="1BA43249"/>
    <w:rsid w:val="1BCA7AFD"/>
    <w:rsid w:val="1C533B93"/>
    <w:rsid w:val="1D014D4E"/>
    <w:rsid w:val="1D2C1B9D"/>
    <w:rsid w:val="1DD54997"/>
    <w:rsid w:val="1E9321F6"/>
    <w:rsid w:val="21AC1754"/>
    <w:rsid w:val="21AD27D8"/>
    <w:rsid w:val="21BB3E70"/>
    <w:rsid w:val="21D96579"/>
    <w:rsid w:val="21DF0690"/>
    <w:rsid w:val="223700BA"/>
    <w:rsid w:val="23016FFE"/>
    <w:rsid w:val="238F14CF"/>
    <w:rsid w:val="248075C6"/>
    <w:rsid w:val="24A9128F"/>
    <w:rsid w:val="25C45986"/>
    <w:rsid w:val="269313F5"/>
    <w:rsid w:val="2726790B"/>
    <w:rsid w:val="27782B5A"/>
    <w:rsid w:val="27DD61AE"/>
    <w:rsid w:val="287B6F9A"/>
    <w:rsid w:val="28906607"/>
    <w:rsid w:val="28CE07C2"/>
    <w:rsid w:val="2A8066FB"/>
    <w:rsid w:val="2AE33E25"/>
    <w:rsid w:val="2B353628"/>
    <w:rsid w:val="2C820C26"/>
    <w:rsid w:val="2CE73BBA"/>
    <w:rsid w:val="2D237AD7"/>
    <w:rsid w:val="2D24693D"/>
    <w:rsid w:val="2E817130"/>
    <w:rsid w:val="301918F8"/>
    <w:rsid w:val="30490D36"/>
    <w:rsid w:val="30590632"/>
    <w:rsid w:val="308734E5"/>
    <w:rsid w:val="30E64408"/>
    <w:rsid w:val="30FA2A33"/>
    <w:rsid w:val="316F33EB"/>
    <w:rsid w:val="31E13C5C"/>
    <w:rsid w:val="326607DC"/>
    <w:rsid w:val="330A687A"/>
    <w:rsid w:val="336861CE"/>
    <w:rsid w:val="33CB341C"/>
    <w:rsid w:val="33FB665A"/>
    <w:rsid w:val="36FC208E"/>
    <w:rsid w:val="376446E2"/>
    <w:rsid w:val="383C1AD4"/>
    <w:rsid w:val="388854EE"/>
    <w:rsid w:val="38B70545"/>
    <w:rsid w:val="38C61112"/>
    <w:rsid w:val="38D55CF3"/>
    <w:rsid w:val="39052637"/>
    <w:rsid w:val="3A1C0031"/>
    <w:rsid w:val="3A555E5F"/>
    <w:rsid w:val="3A77416A"/>
    <w:rsid w:val="3B0241BE"/>
    <w:rsid w:val="3B763C10"/>
    <w:rsid w:val="3B96711C"/>
    <w:rsid w:val="3E2A4DE1"/>
    <w:rsid w:val="3F17569F"/>
    <w:rsid w:val="3FB406EF"/>
    <w:rsid w:val="4049170D"/>
    <w:rsid w:val="41553F18"/>
    <w:rsid w:val="41E52010"/>
    <w:rsid w:val="426232ED"/>
    <w:rsid w:val="42BE711C"/>
    <w:rsid w:val="43400EF4"/>
    <w:rsid w:val="4487194E"/>
    <w:rsid w:val="45F17798"/>
    <w:rsid w:val="46550258"/>
    <w:rsid w:val="465C2494"/>
    <w:rsid w:val="47356FED"/>
    <w:rsid w:val="4B7C274F"/>
    <w:rsid w:val="4D234A29"/>
    <w:rsid w:val="4D865B7E"/>
    <w:rsid w:val="4E3772B6"/>
    <w:rsid w:val="4FFA52D2"/>
    <w:rsid w:val="500A54B5"/>
    <w:rsid w:val="513F5F54"/>
    <w:rsid w:val="514939B8"/>
    <w:rsid w:val="52B919B8"/>
    <w:rsid w:val="536B6DCF"/>
    <w:rsid w:val="537671CF"/>
    <w:rsid w:val="547B2637"/>
    <w:rsid w:val="54F36DDA"/>
    <w:rsid w:val="5721466A"/>
    <w:rsid w:val="577F787D"/>
    <w:rsid w:val="58A40A31"/>
    <w:rsid w:val="593A20CE"/>
    <w:rsid w:val="59CD4606"/>
    <w:rsid w:val="5A902C1E"/>
    <w:rsid w:val="5A9515E2"/>
    <w:rsid w:val="5B1D7681"/>
    <w:rsid w:val="5B2666AB"/>
    <w:rsid w:val="5BAD10F3"/>
    <w:rsid w:val="5CA5550D"/>
    <w:rsid w:val="5CDA29C1"/>
    <w:rsid w:val="5D324288"/>
    <w:rsid w:val="5D6C5E08"/>
    <w:rsid w:val="5E581E3E"/>
    <w:rsid w:val="5EA873C1"/>
    <w:rsid w:val="5EDF1C56"/>
    <w:rsid w:val="5EE32F41"/>
    <w:rsid w:val="5F1A35E9"/>
    <w:rsid w:val="6014389A"/>
    <w:rsid w:val="60632154"/>
    <w:rsid w:val="608B7CF1"/>
    <w:rsid w:val="61E769EA"/>
    <w:rsid w:val="622B484E"/>
    <w:rsid w:val="62C716F7"/>
    <w:rsid w:val="6443309A"/>
    <w:rsid w:val="65315B69"/>
    <w:rsid w:val="65F2042C"/>
    <w:rsid w:val="662875B0"/>
    <w:rsid w:val="66844276"/>
    <w:rsid w:val="66EF2651"/>
    <w:rsid w:val="67495E28"/>
    <w:rsid w:val="690E574E"/>
    <w:rsid w:val="6AC4630D"/>
    <w:rsid w:val="6BFA6868"/>
    <w:rsid w:val="6C903101"/>
    <w:rsid w:val="6CDD1929"/>
    <w:rsid w:val="6D842F75"/>
    <w:rsid w:val="6DBB3F0A"/>
    <w:rsid w:val="6FE23186"/>
    <w:rsid w:val="70171B1D"/>
    <w:rsid w:val="70403533"/>
    <w:rsid w:val="70C7697E"/>
    <w:rsid w:val="711A7C36"/>
    <w:rsid w:val="72296452"/>
    <w:rsid w:val="725E6B7F"/>
    <w:rsid w:val="725E72BC"/>
    <w:rsid w:val="72BC77B0"/>
    <w:rsid w:val="73463C49"/>
    <w:rsid w:val="73A9111E"/>
    <w:rsid w:val="73BC657E"/>
    <w:rsid w:val="743B5E87"/>
    <w:rsid w:val="7443416A"/>
    <w:rsid w:val="75BD4EA2"/>
    <w:rsid w:val="76920353"/>
    <w:rsid w:val="771735EF"/>
    <w:rsid w:val="78A54ACC"/>
    <w:rsid w:val="78D97489"/>
    <w:rsid w:val="792A14ED"/>
    <w:rsid w:val="79425A2F"/>
    <w:rsid w:val="796E34A2"/>
    <w:rsid w:val="798A137B"/>
    <w:rsid w:val="7A0D594F"/>
    <w:rsid w:val="7A253941"/>
    <w:rsid w:val="7A361BF9"/>
    <w:rsid w:val="7A692EE2"/>
    <w:rsid w:val="7B4F5D9B"/>
    <w:rsid w:val="7BEC1680"/>
    <w:rsid w:val="7C2C54D6"/>
    <w:rsid w:val="7C833F2C"/>
    <w:rsid w:val="7D1D4E68"/>
    <w:rsid w:val="7E010E51"/>
    <w:rsid w:val="7EA561FB"/>
    <w:rsid w:val="7F552383"/>
    <w:rsid w:val="7FF6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Arial" w:asciiTheme="minorHAnsi" w:hAnsiTheme="minorHAnsi" w:eastAsiaTheme="minorEastAsia"/>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unhideWhenUsed/>
    <w:qFormat/>
    <w:uiPriority w:val="9"/>
    <w:pPr>
      <w:keepNext/>
      <w:keepLines/>
      <w:spacing w:before="50" w:beforeLines="50" w:after="50" w:afterLines="50" w:line="500" w:lineRule="exact"/>
      <w:jc w:val="left"/>
      <w:outlineLvl w:val="1"/>
    </w:pPr>
    <w:rPr>
      <w:rFonts w:cs="宋体" w:asciiTheme="majorHAnsi" w:hAnsiTheme="majorHAnsi" w:eastAsiaTheme="majorEastAsia"/>
      <w:b/>
      <w:bCs/>
      <w:sz w:val="24"/>
    </w:rPr>
  </w:style>
  <w:style w:type="paragraph" w:styleId="4">
    <w:name w:val="heading 3"/>
    <w:basedOn w:val="1"/>
    <w:next w:val="1"/>
    <w:link w:val="16"/>
    <w:unhideWhenUsed/>
    <w:qFormat/>
    <w:uiPriority w:val="0"/>
    <w:pPr>
      <w:keepNext/>
      <w:keepLines/>
      <w:spacing w:before="260" w:after="260" w:line="413" w:lineRule="auto"/>
      <w:outlineLvl w:val="2"/>
    </w:pPr>
    <w:rPr>
      <w:rFonts w:eastAsia="黑体"/>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uiPriority w:val="0"/>
    <w:pPr>
      <w:snapToGrid w:val="0"/>
      <w:jc w:val="left"/>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character" w:styleId="15">
    <w:name w:val="footnote reference"/>
    <w:basedOn w:val="12"/>
    <w:uiPriority w:val="0"/>
    <w:rPr>
      <w:vertAlign w:val="superscript"/>
    </w:rPr>
  </w:style>
  <w:style w:type="character" w:customStyle="1" w:styleId="16">
    <w:name w:val="标题 3 Char"/>
    <w:link w:val="4"/>
    <w:qFormat/>
    <w:uiPriority w:val="0"/>
    <w:rPr>
      <w:rFonts w:eastAsia="黑体" w:asciiTheme="minorHAnsi" w:hAnsiTheme="minorHAnsi"/>
      <w:sz w:val="24"/>
    </w:rPr>
  </w:style>
  <w:style w:type="paragraph" w:customStyle="1" w:styleId="17">
    <w:name w:val="前言"/>
    <w:next w:val="1"/>
    <w:qFormat/>
    <w:uiPriority w:val="0"/>
    <w:pPr>
      <w:spacing w:before="850" w:after="680"/>
      <w:jc w:val="center"/>
    </w:pPr>
    <w:rPr>
      <w:rFonts w:ascii="Times New Roman" w:hAnsi="Times New Roman" w:eastAsia="黑体" w:cstheme="minorBidi"/>
      <w:sz w:val="32"/>
      <w:lang w:val="en-US" w:eastAsia="zh-CN" w:bidi="ar-SA"/>
    </w:rPr>
  </w:style>
  <w:style w:type="character" w:customStyle="1" w:styleId="18">
    <w:name w:val="批注框文本 Char"/>
    <w:basedOn w:val="12"/>
    <w:link w:val="6"/>
    <w:qFormat/>
    <w:uiPriority w:val="0"/>
    <w:rPr>
      <w:rFonts w:cs="Arial" w:asciiTheme="minorHAnsi" w:hAnsiTheme="minorHAnsi" w:eastAsiaTheme="minorEastAsia"/>
      <w:kern w:val="2"/>
      <w:sz w:val="18"/>
      <w:szCs w:val="18"/>
    </w:r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章标题"/>
    <w:next w:val="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
    <w:name w:val="一级条标题"/>
    <w:basedOn w:val="23"/>
    <w:next w:val="1"/>
    <w:qFormat/>
    <w:uiPriority w:val="0"/>
    <w:pPr>
      <w:numPr>
        <w:ilvl w:val="1"/>
        <w:numId w:val="1"/>
      </w:numPr>
      <w:spacing w:before="156" w:beforeLines="50" w:after="156" w:afterLines="50"/>
      <w:outlineLvl w:val="2"/>
    </w:pPr>
    <w:rPr>
      <w:rFonts w:ascii="黑体" w:eastAsia="黑体"/>
      <w:sz w:val="21"/>
      <w:szCs w:val="21"/>
      <w:lang w:val="en-US" w:eastAsia="zh-CN" w:bidi="ar-SA"/>
    </w:rPr>
  </w:style>
  <w:style w:type="paragraph" w:customStyle="1" w:styleId="25">
    <w:name w:val="列项——（一级）"/>
    <w:uiPriority w:val="0"/>
    <w:pPr>
      <w:widowControl w:val="0"/>
      <w:numPr>
        <w:ilvl w:val="0"/>
        <w:numId w:val="2"/>
      </w:numPr>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emf"/><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285</Words>
  <Characters>1625</Characters>
  <Lines>13</Lines>
  <Paragraphs>3</Paragraphs>
  <TotalTime>2</TotalTime>
  <ScaleCrop>false</ScaleCrop>
  <LinksUpToDate>false</LinksUpToDate>
  <CharactersWithSpaces>1907</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2021-08-03T04:29:00Z</dcterms:created>
  <dc:creator>dell</dc:creator>
  <cp:lastModifiedBy>admin</cp:lastModifiedBy>
  <dcterms:modified xsi:type="dcterms:W3CDTF">2021-09-02T09:47:53Z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A1AF939687B841C5B499B1C760024258</vt:lpwstr>
  </property>
</Properties>
</file>