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附件3：</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kern w:val="44"/>
          <w:sz w:val="32"/>
          <w:szCs w:val="32"/>
          <w:lang w:val="en-US" w:eastAsia="zh-CN" w:bidi="ar-SA"/>
        </w:rPr>
      </w:pPr>
      <w:r>
        <w:rPr>
          <w:rFonts w:hint="eastAsia" w:ascii="黑体" w:hAnsi="黑体" w:eastAsia="黑体" w:cs="黑体"/>
          <w:b/>
          <w:kern w:val="44"/>
          <w:sz w:val="32"/>
          <w:szCs w:val="32"/>
          <w:lang w:val="en-US" w:eastAsia="zh-CN" w:bidi="ar-SA"/>
        </w:rPr>
        <w:t>《重大活动食品安全情报研判系统接口技术规范》</w:t>
      </w:r>
    </w:p>
    <w:p>
      <w:pPr>
        <w:jc w:val="center"/>
        <w:rPr>
          <w:rFonts w:hint="eastAsia" w:ascii="黑体" w:hAnsi="黑体" w:eastAsia="黑体" w:cs="黑体"/>
          <w:b/>
          <w:kern w:val="44"/>
          <w:sz w:val="32"/>
          <w:szCs w:val="32"/>
          <w:lang w:val="en-US" w:eastAsia="zh-CN" w:bidi="ar-SA"/>
        </w:rPr>
      </w:pPr>
      <w:r>
        <w:rPr>
          <w:rFonts w:hint="eastAsia" w:ascii="黑体" w:hAnsi="黑体" w:eastAsia="黑体" w:cs="黑体"/>
          <w:b/>
          <w:kern w:val="44"/>
          <w:sz w:val="32"/>
          <w:szCs w:val="32"/>
          <w:lang w:val="en-US" w:eastAsia="zh-CN" w:bidi="ar-SA"/>
        </w:rPr>
        <w:t>团体标准编制说明</w:t>
      </w:r>
    </w:p>
    <w:p>
      <w:pPr>
        <w:rPr>
          <w:rFonts w:hint="eastAsia"/>
        </w:rPr>
      </w:pP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rFonts w:hint="eastAsia"/>
        </w:rPr>
      </w:pPr>
      <w:r>
        <w:rPr>
          <w:rFonts w:hint="eastAsia"/>
        </w:rPr>
        <w:t>工作简况</w:t>
      </w:r>
    </w:p>
    <w:p>
      <w:pPr>
        <w:pStyle w:val="2"/>
        <w:spacing w:before="156" w:after="156"/>
      </w:pPr>
      <w:r>
        <w:rPr>
          <w:rFonts w:hint="eastAsia"/>
        </w:rPr>
        <w:t>1.1 任务来源</w:t>
      </w:r>
    </w:p>
    <w:p>
      <w:pPr>
        <w:spacing w:line="400" w:lineRule="exact"/>
        <w:ind w:firstLine="480" w:firstLineChars="200"/>
        <w:jc w:val="left"/>
        <w:rPr>
          <w:rFonts w:ascii="宋体" w:hAnsi="宋体" w:eastAsia="宋体" w:cs="宋体"/>
          <w:sz w:val="24"/>
        </w:rPr>
      </w:pPr>
      <w:r>
        <w:rPr>
          <w:rFonts w:hint="eastAsia" w:ascii="宋体" w:hAnsi="宋体" w:eastAsia="宋体" w:cs="宋体"/>
          <w:sz w:val="24"/>
        </w:rPr>
        <w:t>《重大活动食品和毒害危险物质数据存储规范》是基于国家重点研发计划项目《重大活动食品安全风险防控警务模式及关键技术研究》而提出的，本标准由</w:t>
      </w:r>
      <w:r>
        <w:rPr>
          <w:rFonts w:ascii="宋体" w:hAnsi="宋体" w:eastAsia="宋体" w:cs="宋体"/>
          <w:sz w:val="24"/>
        </w:rPr>
        <w:t xml:space="preserve"> 中国人民公安大学牵头负责</w:t>
      </w:r>
      <w:r>
        <w:rPr>
          <w:rFonts w:hint="eastAsia" w:ascii="宋体" w:hAnsi="宋体" w:eastAsia="宋体" w:cs="宋体"/>
          <w:sz w:val="24"/>
        </w:rPr>
        <w:t>，北方工业大学、北京工业大学、江苏华安博远检测技术有限公司联合共同制定。</w:t>
      </w:r>
    </w:p>
    <w:p>
      <w:pPr>
        <w:pStyle w:val="2"/>
        <w:spacing w:before="156" w:after="156"/>
        <w:rPr>
          <w:rFonts w:hint="eastAsia"/>
        </w:rPr>
      </w:pPr>
      <w:r>
        <w:rPr>
          <w:rFonts w:hint="eastAsia"/>
        </w:rPr>
        <w:t>1.2目的意义</w:t>
      </w:r>
    </w:p>
    <w:p>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针对重大活动食品安全风险防控中毒害危险物难防范,难预警,难处置等问题,有效获取情报,准确分析研判,事前防范化解重大活动食品安全风险,实现重大活动食品安全风险态势的综合研判,智能决策及动态预警,构建重大活动食品安全情报分析研判系统具有重要现实意义。为使毒害危险物数据、案例数据、第三方数据库及实时监测数据与重大活动食品安全情报研判系统对接时接口的设计原则、整体架构、接口定义、接口参数等有据可依，由北方工业大学提出制定《重大活动食品安全情报研判系统接口技术规范》团体标准。</w:t>
      </w:r>
    </w:p>
    <w:p>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基于毒害危险物数据、案例数据、第三方数据库及实时监测数据，构建集食品安全事件识别、监测、安全态势研判于一体的综合研判原型系统，通过数据接口，实现重大活动食品安全态势的感知、分析、预警和预测，将显著提高重大活动食品安全风险防范管控能力。良好的接口设计可以降低系统各部分的相互依赖，提高组成单元的内聚性，降低组成单元间的耦合程度，从而提高系统的维护性和扩展性。该团体标准的提出、制定，为重大活动食品安全情报研判系统的建设与管理提供技术支撑，从而实现重大活动食品安全情报分析“动态智能”，实现重大活动食品安全态势的感知、分析、预警和预测,将显著提高重大活动食品安全风险防控和警务保障能力,从食品安全风险监测监控,预测预警和智能防范等方面为重大活动食品安全保障提供科技支撑。</w:t>
      </w:r>
    </w:p>
    <w:p>
      <w:pPr>
        <w:pStyle w:val="2"/>
        <w:rPr>
          <w:rFonts w:hint="eastAsia"/>
        </w:rPr>
      </w:pPr>
    </w:p>
    <w:p>
      <w:pPr>
        <w:pStyle w:val="2"/>
        <w:spacing w:before="156" w:after="156"/>
      </w:pPr>
      <w:r>
        <w:rPr>
          <w:rFonts w:hint="eastAsia"/>
        </w:rPr>
        <w:t>1.3  国内外相关标准情况</w:t>
      </w:r>
    </w:p>
    <w:p>
      <w:pPr>
        <w:pStyle w:val="9"/>
        <w:spacing w:before="156" w:beforeLines="50" w:after="156" w:afterLines="50" w:line="400" w:lineRule="exact"/>
        <w:ind w:firstLine="480"/>
        <w:rPr>
          <w:rFonts w:cs="宋体"/>
          <w:sz w:val="24"/>
          <w:szCs w:val="24"/>
          <w:shd w:val="clear" w:color="auto" w:fill="FFFFFF"/>
        </w:rPr>
      </w:pPr>
      <w:r>
        <w:rPr>
          <w:rFonts w:hint="eastAsia" w:cs="宋体"/>
          <w:sz w:val="24"/>
          <w:szCs w:val="24"/>
          <w:shd w:val="clear" w:color="auto" w:fill="FFFFFF"/>
        </w:rPr>
        <w:t>我国国家标准、行业标准、地方标准查询到关于各类系统平台数据的接口规范，如GB/T 40094.3-2021《电子商务数据交易 第3部分：数据接口规范》、DB37/T 4350-2021《重要产品追溯 食用农产品省级平台数据接口规范》、GB/T 39106-2020《消费品追溯 追溯系统数据交换应用规范》。</w:t>
      </w:r>
    </w:p>
    <w:p>
      <w:pPr>
        <w:pStyle w:val="9"/>
        <w:spacing w:before="156" w:beforeLines="50" w:after="156" w:afterLines="50" w:line="400" w:lineRule="exact"/>
        <w:ind w:firstLine="480"/>
        <w:rPr>
          <w:rFonts w:hint="eastAsia" w:cs="宋体"/>
          <w:sz w:val="24"/>
          <w:szCs w:val="24"/>
          <w:shd w:val="clear" w:color="auto" w:fill="FFFFFF"/>
        </w:rPr>
      </w:pPr>
      <w:r>
        <w:rPr>
          <w:rFonts w:hint="eastAsia" w:cs="宋体"/>
          <w:sz w:val="24"/>
          <w:szCs w:val="24"/>
          <w:shd w:val="clear" w:color="auto" w:fill="FFFFFF"/>
        </w:rPr>
        <w:t>重大活动食品安全情报研判系统开发是基于国家重点研发计划项目《重大活动食品安全风险防控警务模式及关键技术研究》</w:t>
      </w:r>
      <w:r>
        <w:rPr>
          <w:rFonts w:hint="eastAsia" w:cs="宋体"/>
          <w:sz w:val="24"/>
          <w:szCs w:val="24"/>
          <w:shd w:val="clear" w:color="auto" w:fill="FFFFFF"/>
        </w:rPr>
        <w:t>而提出的，团体标准《重大活动食品安全情报研判系统接口技术规范》也是在国内首次提出，目前国外暂无相关标准。</w:t>
      </w:r>
    </w:p>
    <w:p>
      <w:pPr>
        <w:pStyle w:val="2"/>
        <w:spacing w:before="156" w:after="156"/>
      </w:pPr>
      <w:r>
        <w:rPr>
          <w:rFonts w:hint="eastAsia"/>
        </w:rPr>
        <w:t>1.4  主要工作</w:t>
      </w:r>
    </w:p>
    <w:p>
      <w:pPr>
        <w:pStyle w:val="9"/>
        <w:spacing w:before="156" w:beforeLines="50" w:after="156" w:afterLines="50" w:line="400" w:lineRule="exact"/>
        <w:ind w:firstLine="480"/>
        <w:rPr>
          <w:rFonts w:hint="eastAsia" w:cs="宋体"/>
          <w:sz w:val="24"/>
          <w:szCs w:val="24"/>
          <w:shd w:val="clear" w:color="auto" w:fill="FFFFFF"/>
        </w:rPr>
      </w:pPr>
      <w:r>
        <w:rPr>
          <w:rFonts w:hint="eastAsia" w:cs="宋体"/>
          <w:sz w:val="24"/>
          <w:szCs w:val="24"/>
          <w:shd w:val="clear" w:color="auto" w:fill="FFFFFF"/>
        </w:rPr>
        <w:t>（1）成立标准编制工作组</w:t>
      </w:r>
    </w:p>
    <w:p>
      <w:pPr>
        <w:pStyle w:val="9"/>
        <w:spacing w:before="156" w:beforeLines="50" w:after="156" w:afterLines="50" w:line="400" w:lineRule="exact"/>
        <w:ind w:firstLine="480"/>
        <w:rPr>
          <w:rFonts w:hint="eastAsia" w:cs="宋体"/>
          <w:sz w:val="24"/>
          <w:szCs w:val="24"/>
          <w:shd w:val="clear" w:color="auto" w:fill="FFFFFF"/>
        </w:rPr>
      </w:pPr>
      <w:r>
        <w:rPr>
          <w:rFonts w:hint="eastAsia" w:cs="宋体"/>
          <w:sz w:val="24"/>
          <w:szCs w:val="24"/>
          <w:shd w:val="clear" w:color="auto" w:fill="FFFFFF"/>
        </w:rPr>
        <w:t>2021年5月，成立标准编制工作组，制定工作计划和落实方案，启动标准研究及编制工作。</w:t>
      </w:r>
    </w:p>
    <w:p>
      <w:pPr>
        <w:pStyle w:val="9"/>
        <w:spacing w:before="156" w:beforeLines="50" w:after="156" w:afterLines="50" w:line="400" w:lineRule="exact"/>
        <w:ind w:firstLine="480"/>
        <w:rPr>
          <w:rFonts w:hint="eastAsia" w:cs="宋体"/>
          <w:sz w:val="24"/>
          <w:szCs w:val="24"/>
          <w:shd w:val="clear" w:color="auto" w:fill="FFFFFF"/>
        </w:rPr>
      </w:pPr>
      <w:r>
        <w:rPr>
          <w:rFonts w:hint="eastAsia" w:cs="宋体"/>
          <w:sz w:val="24"/>
          <w:szCs w:val="24"/>
          <w:shd w:val="clear" w:color="auto" w:fill="FFFFFF"/>
          <w:lang w:eastAsia="zh-CN"/>
        </w:rPr>
        <w:t>（</w:t>
      </w:r>
      <w:r>
        <w:rPr>
          <w:rFonts w:hint="eastAsia" w:cs="宋体"/>
          <w:sz w:val="24"/>
          <w:szCs w:val="24"/>
          <w:shd w:val="clear" w:color="auto" w:fill="FFFFFF"/>
          <w:lang w:val="en-US" w:eastAsia="zh-CN"/>
        </w:rPr>
        <w:t>2</w:t>
      </w:r>
      <w:r>
        <w:rPr>
          <w:rFonts w:hint="eastAsia" w:cs="宋体"/>
          <w:sz w:val="24"/>
          <w:szCs w:val="24"/>
          <w:shd w:val="clear" w:color="auto" w:fill="FFFFFF"/>
          <w:lang w:eastAsia="zh-CN"/>
        </w:rPr>
        <w:t>）</w:t>
      </w:r>
      <w:r>
        <w:rPr>
          <w:rFonts w:hint="eastAsia" w:cs="宋体"/>
          <w:sz w:val="24"/>
          <w:szCs w:val="24"/>
          <w:shd w:val="clear" w:color="auto" w:fill="FFFFFF"/>
        </w:rPr>
        <w:t>调查研究、收集资料、撰写标准草案</w:t>
      </w:r>
    </w:p>
    <w:p>
      <w:pPr>
        <w:pStyle w:val="9"/>
        <w:spacing w:before="156" w:beforeLines="50" w:after="156" w:afterLines="50" w:line="400" w:lineRule="exact"/>
        <w:ind w:firstLine="480"/>
        <w:rPr>
          <w:rFonts w:hint="eastAsia" w:cs="宋体"/>
          <w:sz w:val="24"/>
          <w:szCs w:val="24"/>
          <w:shd w:val="clear" w:color="auto" w:fill="FFFFFF"/>
        </w:rPr>
      </w:pPr>
      <w:r>
        <w:rPr>
          <w:rFonts w:hint="eastAsia" w:cs="宋体"/>
          <w:sz w:val="24"/>
          <w:szCs w:val="24"/>
          <w:shd w:val="clear" w:color="auto" w:fill="FFFFFF"/>
        </w:rPr>
        <w:t>标准编制工作组通过查阅相关文献，标准资料，了解国内外研究现状。</w:t>
      </w:r>
    </w:p>
    <w:p>
      <w:pPr>
        <w:pStyle w:val="9"/>
        <w:spacing w:before="156" w:beforeLines="50" w:after="156" w:afterLines="50" w:line="400" w:lineRule="exact"/>
        <w:ind w:firstLine="480"/>
        <w:rPr>
          <w:rFonts w:hint="eastAsia" w:cs="宋体"/>
          <w:sz w:val="24"/>
          <w:szCs w:val="24"/>
          <w:shd w:val="clear" w:color="auto" w:fill="FFFFFF"/>
        </w:rPr>
      </w:pPr>
      <w:r>
        <w:rPr>
          <w:rFonts w:hint="eastAsia" w:cs="宋体"/>
          <w:sz w:val="24"/>
          <w:szCs w:val="24"/>
          <w:shd w:val="clear" w:color="auto" w:fill="FFFFFF"/>
          <w:lang w:eastAsia="zh-CN"/>
        </w:rPr>
        <w:t>（</w:t>
      </w:r>
      <w:r>
        <w:rPr>
          <w:rFonts w:hint="eastAsia" w:cs="宋体"/>
          <w:sz w:val="24"/>
          <w:szCs w:val="24"/>
          <w:shd w:val="clear" w:color="auto" w:fill="FFFFFF"/>
          <w:lang w:val="en-US" w:eastAsia="zh-CN"/>
        </w:rPr>
        <w:t>3</w:t>
      </w:r>
      <w:r>
        <w:rPr>
          <w:rFonts w:hint="eastAsia" w:cs="宋体"/>
          <w:sz w:val="24"/>
          <w:szCs w:val="24"/>
          <w:shd w:val="clear" w:color="auto" w:fill="FFFFFF"/>
          <w:lang w:eastAsia="zh-CN"/>
        </w:rPr>
        <w:t>）</w:t>
      </w:r>
      <w:r>
        <w:rPr>
          <w:rFonts w:hint="eastAsia" w:cs="宋体"/>
          <w:sz w:val="24"/>
          <w:szCs w:val="24"/>
          <w:shd w:val="clear" w:color="auto" w:fill="FFFFFF"/>
        </w:rPr>
        <w:t>标准草案编制</w:t>
      </w:r>
    </w:p>
    <w:p>
      <w:pPr>
        <w:pStyle w:val="9"/>
        <w:spacing w:before="156" w:beforeLines="50" w:after="156" w:afterLines="50" w:line="400" w:lineRule="exact"/>
        <w:ind w:firstLine="480"/>
        <w:rPr>
          <w:rFonts w:hint="eastAsia" w:eastAsia="宋体" w:cs="宋体"/>
          <w:sz w:val="24"/>
          <w:szCs w:val="24"/>
          <w:shd w:val="clear" w:color="auto" w:fill="FFFFFF"/>
          <w:lang w:eastAsia="zh-CN"/>
        </w:rPr>
      </w:pPr>
      <w:r>
        <w:rPr>
          <w:rFonts w:hint="eastAsia" w:cs="宋体"/>
          <w:sz w:val="24"/>
          <w:szCs w:val="24"/>
          <w:shd w:val="clear" w:color="auto" w:fill="FFFFFF"/>
        </w:rPr>
        <w:t>开展标准起草工作，确定标准文本框架。</w:t>
      </w:r>
      <w:r>
        <w:rPr>
          <w:rFonts w:hint="eastAsia" w:cs="宋体"/>
          <w:sz w:val="24"/>
          <w:szCs w:val="24"/>
          <w:shd w:val="clear" w:color="auto" w:fill="FFFFFF"/>
          <w:lang w:eastAsia="zh-CN"/>
        </w:rPr>
        <w:t>通过几次标准起草会，确定了标准的具体内容并不断进行修改与完善。</w:t>
      </w:r>
    </w:p>
    <w:p>
      <w:pPr>
        <w:pStyle w:val="9"/>
        <w:spacing w:before="156" w:beforeLines="50" w:after="156" w:afterLines="50" w:line="400" w:lineRule="exact"/>
        <w:ind w:firstLine="480"/>
        <w:rPr>
          <w:rFonts w:hint="eastAsia" w:cs="宋体"/>
          <w:sz w:val="24"/>
          <w:szCs w:val="24"/>
          <w:shd w:val="clear" w:color="auto" w:fill="FFFFFF"/>
        </w:rPr>
      </w:pPr>
    </w:p>
    <w:p>
      <w:pPr>
        <w:pStyle w:val="3"/>
        <w:bidi w:val="0"/>
        <w:rPr>
          <w:rFonts w:hint="eastAsia"/>
          <w:lang w:val="en-US" w:eastAsia="zh-CN"/>
        </w:rPr>
      </w:pPr>
      <w:r>
        <w:rPr>
          <w:rFonts w:hint="eastAsia"/>
          <w:lang w:val="en-US" w:eastAsia="zh-CN"/>
        </w:rPr>
        <w:t>2、标准编制原则和标准的主要内容</w:t>
      </w:r>
    </w:p>
    <w:p>
      <w:pPr>
        <w:pStyle w:val="2"/>
        <w:bidi w:val="0"/>
        <w:rPr>
          <w:rFonts w:hint="eastAsia"/>
          <w:lang w:val="en-US" w:eastAsia="zh-CN"/>
        </w:rPr>
      </w:pPr>
      <w:r>
        <w:rPr>
          <w:rFonts w:hint="eastAsia"/>
          <w:lang w:val="en-US" w:eastAsia="zh-CN"/>
        </w:rPr>
        <w:t>2.1标准编制原则</w:t>
      </w:r>
    </w:p>
    <w:p>
      <w:pPr>
        <w:numPr>
          <w:ilvl w:val="0"/>
          <w:numId w:val="3"/>
        </w:numPr>
        <w:bidi w:val="0"/>
        <w:rPr>
          <w:rFonts w:hint="eastAsia"/>
          <w:lang w:val="en-US" w:eastAsia="zh-CN"/>
        </w:rPr>
      </w:pPr>
      <w:r>
        <w:rPr>
          <w:rFonts w:hint="eastAsia"/>
          <w:lang w:val="en-US" w:eastAsia="zh-CN"/>
        </w:rPr>
        <w:t>规范性</w:t>
      </w:r>
    </w:p>
    <w:p>
      <w:pPr>
        <w:spacing w:line="40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按照《标准化工作导则 第1部分：标准化文件的结构和起草规则》（GB/T 1.1-2020）进行编写。</w:t>
      </w:r>
    </w:p>
    <w:p>
      <w:pPr>
        <w:numPr>
          <w:ilvl w:val="0"/>
          <w:numId w:val="3"/>
        </w:numPr>
        <w:bidi w:val="0"/>
        <w:rPr>
          <w:rFonts w:hint="default"/>
          <w:lang w:val="en-US" w:eastAsia="zh-CN"/>
        </w:rPr>
      </w:pPr>
      <w:r>
        <w:rPr>
          <w:rFonts w:hint="eastAsia"/>
          <w:lang w:val="en-US" w:eastAsia="zh-CN"/>
        </w:rPr>
        <w:t>一致性</w:t>
      </w:r>
    </w:p>
    <w:p>
      <w:pPr>
        <w:spacing w:line="400" w:lineRule="exact"/>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val="en-US" w:eastAsia="zh-CN"/>
        </w:rPr>
        <w:t>尽量与现行有效的国家法律、法规、标准保持一致，根据《</w:t>
      </w:r>
      <w:r>
        <w:rPr>
          <w:rFonts w:hint="eastAsia" w:ascii="宋体" w:hAnsi="宋体" w:eastAsia="宋体" w:cs="宋体"/>
          <w:sz w:val="24"/>
        </w:rPr>
        <w:t>分布式关系数据库服务接口规范 第6部分：接口定义格式</w:t>
      </w:r>
      <w:r>
        <w:rPr>
          <w:rFonts w:hint="eastAsia" w:ascii="宋体" w:hAnsi="宋体" w:eastAsia="宋体" w:cs="宋体"/>
          <w:sz w:val="24"/>
          <w:lang w:val="en-US" w:eastAsia="zh-CN"/>
        </w:rPr>
        <w:t>》（</w:t>
      </w:r>
      <w:r>
        <w:rPr>
          <w:rFonts w:hint="eastAsia" w:ascii="宋体" w:hAnsi="宋体" w:eastAsia="宋体" w:cs="宋体"/>
          <w:sz w:val="24"/>
        </w:rPr>
        <w:t>GB/T 32633—2016</w:t>
      </w:r>
      <w:r>
        <w:rPr>
          <w:rFonts w:hint="eastAsia" w:ascii="宋体" w:hAnsi="宋体" w:eastAsia="宋体" w:cs="宋体"/>
          <w:sz w:val="24"/>
          <w:lang w:val="en-US" w:eastAsia="zh-CN"/>
        </w:rPr>
        <w:t>）标准要求进行编制。</w:t>
      </w:r>
    </w:p>
    <w:p>
      <w:pPr>
        <w:numPr>
          <w:ilvl w:val="0"/>
          <w:numId w:val="3"/>
        </w:numPr>
        <w:bidi w:val="0"/>
        <w:rPr>
          <w:rFonts w:hint="default"/>
          <w:lang w:val="en-US" w:eastAsia="zh-CN"/>
        </w:rPr>
      </w:pPr>
      <w:r>
        <w:rPr>
          <w:rFonts w:hint="eastAsia"/>
          <w:lang w:val="en-US" w:eastAsia="zh-CN"/>
        </w:rPr>
        <w:t>实用性和可操作性</w:t>
      </w:r>
    </w:p>
    <w:p>
      <w:pPr>
        <w:spacing w:line="400" w:lineRule="exact"/>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val="en-US" w:eastAsia="zh-CN"/>
        </w:rPr>
        <w:t>本标准定义的接口服务，以重大活动中食品安全情报研判应用为导向，在保证食品安全情报研判可靠性的同时，充分考虑重大活动的业务应用场景。</w:t>
      </w:r>
    </w:p>
    <w:p>
      <w:pPr>
        <w:pStyle w:val="2"/>
        <w:bidi w:val="0"/>
        <w:rPr>
          <w:rFonts w:hint="default"/>
          <w:lang w:val="en-US" w:eastAsia="zh-CN"/>
        </w:rPr>
      </w:pPr>
      <w:r>
        <w:rPr>
          <w:rFonts w:hint="eastAsia"/>
          <w:lang w:val="en-US" w:eastAsia="zh-CN"/>
        </w:rPr>
        <w:t>2.2  标准主要内容的制定</w:t>
      </w:r>
    </w:p>
    <w:p>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本规范规定了毒害危险物数据、案例数据、第三方数据库及实时监测数据与重大活动食品安全情报研判系统对接时接口的设计原则、接口描述、参数描述和调用规则，并给出调用样例及接口安全保证。</w:t>
      </w:r>
    </w:p>
    <w:p>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本规范适用于重大活动食品安全情报研判系统的建设与管理。</w:t>
      </w:r>
    </w:p>
    <w:p>
      <w:pPr>
        <w:pStyle w:val="4"/>
        <w:bidi w:val="0"/>
        <w:rPr>
          <w:rFonts w:hint="eastAsia"/>
          <w:lang w:val="en-US" w:eastAsia="zh-CN"/>
        </w:rPr>
      </w:pPr>
      <w:r>
        <w:rPr>
          <w:rFonts w:hint="eastAsia"/>
          <w:lang w:val="en-US" w:eastAsia="zh-CN"/>
        </w:rPr>
        <w:t>2.2.1术语和缩略语</w:t>
      </w:r>
    </w:p>
    <w:p>
      <w:pPr>
        <w:rPr>
          <w:rFonts w:hint="eastAsia" w:eastAsia="宋体"/>
          <w:lang w:val="en-US" w:eastAsia="zh-CN"/>
        </w:rPr>
      </w:pPr>
      <w:r>
        <w:rPr>
          <w:rFonts w:hint="eastAsia"/>
          <w:lang w:val="en-US" w:eastAsia="zh-CN"/>
        </w:rPr>
        <w:t>本文件多次运用且需要解释的术语</w:t>
      </w:r>
      <w:r>
        <w:t>GB/T 5271.9</w:t>
      </w:r>
      <w:r>
        <w:rPr>
          <w:rFonts w:hint="eastAsia"/>
          <w:lang w:eastAsia="zh-CN"/>
        </w:rPr>
        <w:t>《</w:t>
      </w:r>
      <w:r>
        <w:t xml:space="preserve">信息技术词汇 </w:t>
      </w:r>
      <w:r>
        <w:rPr>
          <w:rFonts w:hint="eastAsia"/>
        </w:rPr>
        <w:t xml:space="preserve"> </w:t>
      </w:r>
      <w:r>
        <w:t>第9部分：数据通信</w:t>
      </w:r>
      <w:r>
        <w:rPr>
          <w:rFonts w:hint="eastAsia"/>
          <w:lang w:eastAsia="zh-CN"/>
        </w:rPr>
        <w:t>》基本能够满足本文件的需求，此外为保证统一性，且没有可引用的标准，因此定义了重大活动。缩略语选取了目前行业内通用的缩略语。</w:t>
      </w:r>
    </w:p>
    <w:p>
      <w:pPr>
        <w:pStyle w:val="4"/>
        <w:bidi w:val="0"/>
        <w:rPr>
          <w:rFonts w:hint="eastAsia"/>
          <w:lang w:val="en-US" w:eastAsia="zh-CN"/>
        </w:rPr>
      </w:pPr>
      <w:r>
        <w:rPr>
          <w:rFonts w:hint="eastAsia"/>
          <w:lang w:val="en-US" w:eastAsia="zh-CN"/>
        </w:rPr>
        <w:t>2.2.2 接口调用方式</w:t>
      </w:r>
    </w:p>
    <w:p>
      <w:pPr>
        <w:bidi w:val="0"/>
        <w:rPr>
          <w:rFonts w:hint="default"/>
          <w:lang w:val="en-US" w:eastAsia="zh-CN"/>
        </w:rPr>
      </w:pPr>
      <w:r>
        <w:rPr>
          <w:rFonts w:hint="eastAsia"/>
          <w:lang w:val="en-US" w:eastAsia="zh-CN"/>
        </w:rPr>
        <w:t>明确了接口请求及返回方式，请求和返回方式为目前行业内通用方式。也与国家标准一致。</w:t>
      </w:r>
    </w:p>
    <w:p>
      <w:pPr>
        <w:pStyle w:val="4"/>
        <w:bidi w:val="0"/>
        <w:ind w:firstLine="0"/>
        <w:rPr>
          <w:rFonts w:hint="eastAsia" w:ascii="Times New Roman" w:hAnsi="Times New Roman"/>
          <w:b/>
          <w:lang w:val="en-US" w:eastAsia="zh-CN"/>
        </w:rPr>
      </w:pPr>
      <w:r>
        <w:rPr>
          <w:rFonts w:hint="eastAsia" w:ascii="Times New Roman" w:hAnsi="Times New Roman"/>
          <w:b/>
          <w:lang w:val="en-US" w:eastAsia="zh-CN"/>
        </w:rPr>
        <w:t>2.2.2 接口定义</w:t>
      </w:r>
    </w:p>
    <w:p>
      <w:pPr>
        <w:bidi w:val="0"/>
        <w:rPr>
          <w:rFonts w:hint="default"/>
          <w:kern w:val="0"/>
          <w:szCs w:val="20"/>
          <w:lang w:val="en-US"/>
        </w:rPr>
      </w:pPr>
      <w:r>
        <w:rPr>
          <w:rFonts w:hint="eastAsia"/>
          <w:lang w:val="en-US" w:eastAsia="zh-CN"/>
        </w:rPr>
        <w:t>与国内目前通用的数据库实例接口和管理接口定义格式统一，不造成误导，具有通用性。</w:t>
      </w:r>
    </w:p>
    <w:p>
      <w:pPr>
        <w:pStyle w:val="4"/>
        <w:bidi w:val="0"/>
        <w:ind w:firstLine="0"/>
        <w:rPr>
          <w:rFonts w:hint="eastAsia" w:ascii="Times New Roman" w:hAnsi="Times New Roman"/>
          <w:b/>
          <w:lang w:val="en-US" w:eastAsia="zh-CN"/>
        </w:rPr>
      </w:pPr>
      <w:r>
        <w:rPr>
          <w:rFonts w:hint="eastAsia" w:ascii="Times New Roman" w:hAnsi="Times New Roman"/>
          <w:b/>
          <w:lang w:val="en-US" w:eastAsia="zh-CN"/>
        </w:rPr>
        <w:t>2.2.3 接口原则</w:t>
      </w:r>
    </w:p>
    <w:p>
      <w:pPr>
        <w:bidi w:val="0"/>
        <w:rPr>
          <w:rFonts w:hint="default"/>
          <w:lang w:val="en-US" w:eastAsia="zh-CN"/>
        </w:rPr>
      </w:pPr>
      <w:r>
        <w:rPr>
          <w:rFonts w:hint="eastAsia"/>
          <w:lang w:val="en-US" w:eastAsia="zh-CN"/>
        </w:rPr>
        <w:t>明确了接口基本要求以及公共规则，</w:t>
      </w:r>
      <w:r>
        <w:rPr>
          <w:rFonts w:hint="default"/>
          <w:lang w:val="en-US" w:eastAsia="zh-CN"/>
        </w:rPr>
        <w:t>统一</w:t>
      </w:r>
      <w:r>
        <w:rPr>
          <w:rFonts w:hint="eastAsia"/>
          <w:lang w:val="en-US" w:eastAsia="zh-CN"/>
        </w:rPr>
        <w:t>接口的原则，</w:t>
      </w:r>
      <w:r>
        <w:rPr>
          <w:rFonts w:hint="default"/>
          <w:lang w:val="en-US" w:eastAsia="zh-CN"/>
        </w:rPr>
        <w:t>达到节约开发时间，和后期维护的时间，大大提高运行陈本。</w:t>
      </w:r>
    </w:p>
    <w:p>
      <w:pPr>
        <w:pStyle w:val="4"/>
        <w:bidi w:val="0"/>
        <w:ind w:firstLine="0"/>
        <w:rPr>
          <w:rFonts w:hint="eastAsia" w:ascii="Times New Roman" w:hAnsi="Times New Roman"/>
          <w:b/>
          <w:lang w:val="en-US" w:eastAsia="zh-CN"/>
        </w:rPr>
      </w:pPr>
      <w:r>
        <w:rPr>
          <w:rFonts w:hint="eastAsia" w:ascii="Times New Roman" w:hAnsi="Times New Roman"/>
          <w:b/>
          <w:lang w:val="en-US" w:eastAsia="zh-CN"/>
        </w:rPr>
        <w:t>2.2.4 接口组成</w:t>
      </w:r>
    </w:p>
    <w:p>
      <w:pPr>
        <w:bidi w:val="0"/>
        <w:rPr>
          <w:rFonts w:hint="eastAsia"/>
        </w:rPr>
      </w:pPr>
      <w:r>
        <w:rPr>
          <w:rFonts w:hint="eastAsia"/>
          <w:lang w:val="en-US" w:eastAsia="zh-CN"/>
        </w:rPr>
        <w:t>本规范包含</w:t>
      </w:r>
      <w:r>
        <w:rPr>
          <w:rFonts w:hint="eastAsia"/>
        </w:rPr>
        <w:t>数据接口</w:t>
      </w:r>
      <w:r>
        <w:rPr>
          <w:rFonts w:hint="eastAsia"/>
          <w:lang w:val="en-US" w:eastAsia="zh-CN"/>
        </w:rPr>
        <w:t>和业务接口。</w:t>
      </w:r>
      <w:r>
        <w:rPr>
          <w:rFonts w:hint="eastAsia"/>
        </w:rPr>
        <w:t>情报研判系统接口架构见表1。</w:t>
      </w:r>
    </w:p>
    <w:p>
      <w:pPr>
        <w:numPr>
          <w:ilvl w:val="0"/>
          <w:numId w:val="4"/>
        </w:numPr>
        <w:spacing w:before="156" w:beforeLines="50" w:after="156" w:afterLines="50"/>
        <w:jc w:val="center"/>
        <w:rPr>
          <w:rFonts w:hint="eastAsia"/>
          <w:lang w:val="en-US" w:eastAsia="zh-CN"/>
        </w:rPr>
      </w:pPr>
      <w:r>
        <w:rPr>
          <w:rFonts w:hint="eastAsia" w:ascii="黑体" w:hAnsi="Times New Roman" w:eastAsia="黑体" w:cs="Times New Roman"/>
          <w:sz w:val="21"/>
          <w:lang w:val="en-US" w:eastAsia="zh-CN" w:bidi="ar-SA"/>
        </w:rPr>
        <w:t>情报研判接口架构</w:t>
      </w:r>
    </w:p>
    <w:tbl>
      <w:tblPr>
        <w:tblStyle w:val="7"/>
        <w:tblW w:w="44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9"/>
        <w:gridCol w:w="5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接口类型</w:t>
            </w:r>
          </w:p>
        </w:tc>
        <w:tc>
          <w:tcPr>
            <w:tcW w:w="37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接口名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数据接口</w:t>
            </w:r>
          </w:p>
        </w:tc>
        <w:tc>
          <w:tcPr>
            <w:tcW w:w="3766" w:type="pct"/>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数据访问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数据新增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数据修改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数据删除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数据查询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业务接口</w:t>
            </w:r>
          </w:p>
        </w:tc>
        <w:tc>
          <w:tcPr>
            <w:tcW w:w="3766" w:type="pct"/>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肉及肉制品合格预测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蔬菜及其制品合格预测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水产及其制品合格预测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水果及其制品合格预测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粮食及其制品合格预测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食品安全风险C4类预警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rPr>
              <w:t>食品安全风险图神经网络预警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rPr>
              <w:t>食品安全知识图谱问答系统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2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37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基于</w:t>
            </w:r>
            <w:r>
              <w:rPr>
                <w:rFonts w:hint="eastAsia"/>
                <w:lang w:val="en-US" w:eastAsia="zh-CN"/>
              </w:rPr>
              <w:t>LSTM</w:t>
            </w:r>
            <w:r>
              <w:rPr>
                <w:rFonts w:hint="eastAsia"/>
              </w:rPr>
              <w:t>的鲜（冻）肉铅含量风险预测预警</w:t>
            </w:r>
          </w:p>
        </w:tc>
      </w:tr>
    </w:tbl>
    <w:p>
      <w:pPr>
        <w:pStyle w:val="5"/>
        <w:bidi w:val="0"/>
        <w:rPr>
          <w:rFonts w:hint="default"/>
          <w:lang w:val="en-US" w:eastAsia="zh-CN"/>
        </w:rPr>
      </w:pPr>
      <w:r>
        <w:rPr>
          <w:rFonts w:hint="eastAsia"/>
          <w:lang w:val="en-US" w:eastAsia="zh-CN"/>
        </w:rPr>
        <w:t>2.2.4.1 数据接口</w:t>
      </w:r>
    </w:p>
    <w:p>
      <w:pPr>
        <w:bidi w:val="0"/>
        <w:rPr>
          <w:rFonts w:hint="eastAsia"/>
        </w:rPr>
      </w:pPr>
      <w:r>
        <w:rPr>
          <w:rFonts w:hint="eastAsia"/>
        </w:rPr>
        <w:t>毒害危险物数据库、案例数据库、第三方数据库及实时监测数据应通过本标准定义的通用访问接口，为情报研判系统软件提供数据访问和管理功能，其技术要求如下：</w:t>
      </w:r>
    </w:p>
    <w:p>
      <w:pPr>
        <w:bidi w:val="0"/>
      </w:pPr>
      <w:r>
        <w:rPr>
          <w:rFonts w:hint="eastAsia"/>
          <w:lang w:eastAsia="zh-CN"/>
        </w:rPr>
        <w:t>——</w:t>
      </w:r>
      <w:r>
        <w:rPr>
          <w:rFonts w:hint="eastAsia"/>
        </w:rPr>
        <w:t>毒害危险物数据库应提供农药、兽药、添加剂、生物毒素、微生物、污染物、致癌物、化学危险品、非法添加物等数据的高效存取功能，支持情报实时分析研判。</w:t>
      </w:r>
    </w:p>
    <w:p>
      <w:pPr>
        <w:bidi w:val="0"/>
      </w:pPr>
      <w:r>
        <w:rPr>
          <w:rFonts w:hint="eastAsia"/>
          <w:lang w:eastAsia="zh-CN"/>
        </w:rPr>
        <w:t>——</w:t>
      </w:r>
      <w:r>
        <w:rPr>
          <w:rFonts w:hint="eastAsia"/>
        </w:rPr>
        <w:t>案例数据库应提供刑事案例数据的高速访问功能，支持对案发时间、案发地点、受害人、案件信息等的在线分析研判。</w:t>
      </w:r>
    </w:p>
    <w:p>
      <w:pPr>
        <w:bidi w:val="0"/>
      </w:pPr>
      <w:r>
        <w:rPr>
          <w:rFonts w:hint="eastAsia"/>
          <w:lang w:eastAsia="zh-CN"/>
        </w:rPr>
        <w:t>——</w:t>
      </w:r>
      <w:r>
        <w:rPr>
          <w:rFonts w:hint="eastAsia"/>
        </w:rPr>
        <w:t>第三方数据库应提供重点人员、社会媒体、电商平台、物流、话单、通行、交易等数据的快速查询功能，支持对舆情演化、电商交易等数据的分析计算。</w:t>
      </w:r>
    </w:p>
    <w:p>
      <w:pPr>
        <w:bidi w:val="0"/>
        <w:rPr>
          <w:rFonts w:hint="eastAsia"/>
        </w:rPr>
      </w:pPr>
      <w:r>
        <w:rPr>
          <w:rFonts w:hint="eastAsia"/>
          <w:lang w:eastAsia="zh-CN"/>
        </w:rPr>
        <w:t>——</w:t>
      </w:r>
      <w:r>
        <w:rPr>
          <w:rFonts w:hint="eastAsia"/>
        </w:rPr>
        <w:t>实时监测数据应提供现场快检设备检测数据、重大活动食品安全相关事件信息、辅助决策系统推送的情报信息等实时动态数据。</w:t>
      </w:r>
    </w:p>
    <w:p>
      <w:pPr>
        <w:bidi w:val="0"/>
        <w:rPr>
          <w:rFonts w:hint="default"/>
          <w:lang w:val="en-US" w:eastAsia="zh-CN"/>
        </w:rPr>
      </w:pPr>
      <w:r>
        <w:rPr>
          <w:rFonts w:hint="eastAsia"/>
          <w:lang w:eastAsia="zh-CN"/>
        </w:rPr>
        <w:t>数据接口包括数据访问、</w:t>
      </w:r>
      <w:r>
        <w:rPr>
          <w:rFonts w:hint="eastAsia"/>
        </w:rPr>
        <w:t>数据新增</w:t>
      </w:r>
      <w:r>
        <w:rPr>
          <w:rFonts w:hint="eastAsia"/>
          <w:lang w:eastAsia="zh-CN"/>
        </w:rPr>
        <w:t>、</w:t>
      </w:r>
      <w:r>
        <w:rPr>
          <w:rFonts w:hint="eastAsia"/>
        </w:rPr>
        <w:t>数据修改</w:t>
      </w:r>
      <w:r>
        <w:rPr>
          <w:rFonts w:hint="eastAsia"/>
          <w:lang w:eastAsia="zh-CN"/>
        </w:rPr>
        <w:t>、</w:t>
      </w:r>
      <w:r>
        <w:rPr>
          <w:rFonts w:hint="eastAsia"/>
        </w:rPr>
        <w:t>数据删除</w:t>
      </w:r>
      <w:r>
        <w:rPr>
          <w:rFonts w:hint="eastAsia"/>
          <w:lang w:eastAsia="zh-CN"/>
        </w:rPr>
        <w:t>、</w:t>
      </w:r>
      <w:r>
        <w:rPr>
          <w:rFonts w:hint="eastAsia"/>
        </w:rPr>
        <w:t>数据查询</w:t>
      </w:r>
      <w:r>
        <w:rPr>
          <w:rFonts w:hint="eastAsia"/>
          <w:lang w:val="en-US" w:eastAsia="zh-CN"/>
        </w:rPr>
        <w:t>5部分内容，对每个接口进行接口描述、参数描述、调用规则描述，并通过示例来具体描述接口的调用。</w:t>
      </w:r>
    </w:p>
    <w:p>
      <w:pPr>
        <w:pStyle w:val="5"/>
        <w:bidi w:val="0"/>
      </w:pPr>
      <w:r>
        <w:rPr>
          <w:rFonts w:hint="eastAsia"/>
          <w:lang w:val="en-US" w:eastAsia="zh-CN"/>
        </w:rPr>
        <w:t xml:space="preserve">2.2.4.2 </w:t>
      </w:r>
      <w:r>
        <w:t>业务接口</w:t>
      </w:r>
    </w:p>
    <w:p>
      <w:pPr>
        <w:rPr>
          <w:rFonts w:hint="default"/>
          <w:lang w:val="en-US" w:eastAsia="zh-CN"/>
        </w:rPr>
      </w:pPr>
      <w:r>
        <w:rPr>
          <w:rFonts w:hint="eastAsia"/>
          <w:lang w:val="en-US" w:eastAsia="zh-CN"/>
        </w:rPr>
        <w:t>本文件共包括9个业务接口，每个业务接口包括接口描述、接口参数描述、接口调用规则描述，最后以示例的形式来说明接口调用。</w:t>
      </w:r>
    </w:p>
    <w:p>
      <w:pPr>
        <w:spacing w:line="400" w:lineRule="exact"/>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（1）</w:t>
      </w:r>
      <w:r>
        <w:rPr>
          <w:rFonts w:hint="default" w:ascii="宋体" w:hAnsi="宋体" w:eastAsia="宋体" w:cs="宋体"/>
          <w:sz w:val="24"/>
          <w:lang w:val="en-US" w:eastAsia="zh-CN"/>
        </w:rPr>
        <w:t>肉及肉制品合格预测</w:t>
      </w:r>
      <w:r>
        <w:rPr>
          <w:rFonts w:hint="eastAsia" w:ascii="宋体" w:hAnsi="宋体" w:eastAsia="宋体" w:cs="宋体"/>
          <w:sz w:val="24"/>
          <w:lang w:val="en-US" w:eastAsia="zh-CN"/>
        </w:rPr>
        <w:t>：</w:t>
      </w:r>
      <w:r>
        <w:rPr>
          <w:rFonts w:hint="default" w:ascii="宋体" w:hAnsi="宋体" w:eastAsia="宋体" w:cs="宋体"/>
          <w:sz w:val="24"/>
          <w:lang w:val="en-US" w:eastAsia="zh-CN"/>
        </w:rPr>
        <w:t>根据某段时间内的肉及肉制品抽检数据，输入任一批次的肉及肉制品特征数据，预测其是否合格。</w:t>
      </w:r>
    </w:p>
    <w:p>
      <w:pPr>
        <w:spacing w:line="400" w:lineRule="exact"/>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蔬菜及其制品合格预测</w:t>
      </w:r>
      <w:r>
        <w:rPr>
          <w:rFonts w:hint="eastAsia" w:ascii="宋体" w:hAnsi="宋体" w:eastAsia="宋体" w:cs="宋体"/>
          <w:sz w:val="24"/>
          <w:lang w:eastAsia="zh-CN"/>
        </w:rPr>
        <w:t>：</w:t>
      </w:r>
      <w:r>
        <w:rPr>
          <w:rFonts w:hint="eastAsia" w:ascii="宋体" w:hAnsi="宋体" w:eastAsia="宋体" w:cs="宋体"/>
          <w:sz w:val="24"/>
        </w:rPr>
        <w:t>根据某段时间内蔬菜及其制品抽检数据，输入任一批次的蔬菜及其制品特征数据，预测其是否合格。</w:t>
      </w:r>
    </w:p>
    <w:p>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水产及其制品合格预测</w:t>
      </w:r>
      <w:r>
        <w:rPr>
          <w:rFonts w:hint="eastAsia" w:ascii="宋体" w:hAnsi="宋体" w:eastAsia="宋体" w:cs="宋体"/>
          <w:sz w:val="24"/>
          <w:lang w:eastAsia="zh-CN"/>
        </w:rPr>
        <w:t>：</w:t>
      </w:r>
      <w:r>
        <w:rPr>
          <w:rFonts w:hint="eastAsia" w:ascii="宋体" w:hAnsi="宋体" w:eastAsia="宋体" w:cs="宋体"/>
          <w:sz w:val="24"/>
        </w:rPr>
        <w:t>根据某段时间内水产及其制品抽检数据，输入任一批次的水产及其制品特征数据，预测其是否合格。</w:t>
      </w:r>
    </w:p>
    <w:p>
      <w:pPr>
        <w:spacing w:line="400" w:lineRule="exact"/>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水果及其制品合格预测</w:t>
      </w:r>
      <w:r>
        <w:rPr>
          <w:rFonts w:hint="eastAsia" w:ascii="宋体" w:hAnsi="宋体" w:eastAsia="宋体" w:cs="宋体"/>
          <w:sz w:val="24"/>
          <w:lang w:eastAsia="zh-CN"/>
        </w:rPr>
        <w:t>：</w:t>
      </w:r>
      <w:r>
        <w:rPr>
          <w:rFonts w:hint="eastAsia" w:ascii="宋体" w:hAnsi="宋体" w:eastAsia="宋体" w:cs="宋体"/>
          <w:sz w:val="24"/>
        </w:rPr>
        <w:t>根据某段时间内水果及其制品抽检数据，输入任一批次的水果及其制品特征数据，预测其是否合格。</w:t>
      </w:r>
    </w:p>
    <w:p>
      <w:pPr>
        <w:spacing w:line="400" w:lineRule="exact"/>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粮食及其制品合格预测</w:t>
      </w:r>
      <w:r>
        <w:rPr>
          <w:rFonts w:hint="eastAsia" w:ascii="宋体" w:hAnsi="宋体" w:eastAsia="宋体" w:cs="宋体"/>
          <w:sz w:val="24"/>
          <w:lang w:eastAsia="zh-CN"/>
        </w:rPr>
        <w:t>：</w:t>
      </w:r>
      <w:r>
        <w:rPr>
          <w:rFonts w:hint="eastAsia" w:ascii="宋体" w:hAnsi="宋体" w:eastAsia="宋体" w:cs="宋体"/>
          <w:sz w:val="24"/>
        </w:rPr>
        <w:t>根据某段时间内粮食及其制品抽检数据，输入任一批次的粮食及其制品特征数据，预测其是否合格。</w:t>
      </w:r>
    </w:p>
    <w:p>
      <w:pPr>
        <w:spacing w:line="400" w:lineRule="exact"/>
        <w:ind w:firstLine="480" w:firstLineChars="200"/>
        <w:jc w:val="left"/>
        <w:rPr>
          <w:rFonts w:hint="eastAsia"/>
        </w:rPr>
      </w:pPr>
      <w:r>
        <w:rPr>
          <w:rFonts w:hint="eastAsia" w:ascii="宋体" w:hAnsi="宋体" w:cs="宋体"/>
          <w:sz w:val="24"/>
          <w:lang w:val="en-US" w:eastAsia="zh-CN"/>
        </w:rPr>
        <w:t>（6）</w:t>
      </w:r>
      <w:r>
        <w:rPr>
          <w:rFonts w:hint="eastAsia" w:ascii="宋体" w:hAnsi="宋体" w:eastAsia="宋体" w:cs="宋体"/>
          <w:sz w:val="24"/>
          <w:lang w:val="en-US" w:eastAsia="zh-CN"/>
        </w:rPr>
        <w:t>食品安全风险C4类预警</w:t>
      </w:r>
      <w:r>
        <w:rPr>
          <w:rFonts w:hint="eastAsia" w:ascii="宋体" w:hAnsi="宋体" w:eastAsia="宋体" w:cs="宋体"/>
          <w:sz w:val="24"/>
          <w:lang w:eastAsia="zh-CN"/>
        </w:rPr>
        <w:t>：</w:t>
      </w:r>
      <w:r>
        <w:rPr>
          <w:rFonts w:hint="eastAsia" w:ascii="宋体" w:hAnsi="宋体" w:eastAsia="宋体" w:cs="宋体"/>
          <w:sz w:val="24"/>
        </w:rPr>
        <w:t>根据某段时间内食品中危害物含量数据，得到线性回归方程，输入任一批次的食品中危害物监测含量数据，预测危害物达到其最大限量值的时间。</w:t>
      </w:r>
    </w:p>
    <w:p>
      <w:pPr>
        <w:spacing w:line="400" w:lineRule="exact"/>
        <w:ind w:firstLine="480" w:firstLineChars="200"/>
        <w:jc w:val="left"/>
        <w:rPr>
          <w:rFonts w:hint="eastAsia" w:ascii="宋体" w:hAnsi="宋体" w:cs="宋体"/>
          <w:sz w:val="24"/>
          <w:lang w:val="en-US" w:eastAsia="zh-CN"/>
        </w:rPr>
      </w:pPr>
      <w:r>
        <w:rPr>
          <w:rFonts w:hint="eastAsia"/>
          <w:lang w:val="en-US" w:eastAsia="zh-CN"/>
        </w:rPr>
        <w:t>（</w:t>
      </w:r>
      <w:r>
        <w:rPr>
          <w:rFonts w:hint="eastAsia" w:ascii="宋体" w:hAnsi="宋体" w:cs="宋体"/>
          <w:sz w:val="24"/>
          <w:lang w:val="en-US" w:eastAsia="zh-CN"/>
        </w:rPr>
        <w:t>7）食品安全风险图神经网络预警接口定义：根据某段时间内的食品抽检数据，输入任一种食品的特征数据，预测其风险等级。</w:t>
      </w:r>
    </w:p>
    <w:p>
      <w:pPr>
        <w:spacing w:line="40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（8）食品安全知识图谱问答系统：输入与食品安全事件相关的问题，返回答案。</w:t>
      </w:r>
    </w:p>
    <w:p>
      <w:pPr>
        <w:spacing w:line="40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（9）基于LSTM的鲜（冻）肉铅含量风险预测预警：</w:t>
      </w:r>
      <w:r>
        <w:rPr>
          <w:rFonts w:hint="eastAsia"/>
        </w:rPr>
        <w:t>以周为单位，根据前十周的鲜（冻）肉污染物中的铅含量来预测未来一周鲜（冻）肉铅含量的风险。</w:t>
      </w:r>
      <w:r>
        <w:rPr>
          <w:rFonts w:hint="eastAsia" w:ascii="宋体" w:hAnsi="宋体" w:eastAsia="宋体" w:cs="宋体"/>
        </w:rPr>
        <w:t>基于</w:t>
      </w:r>
      <w:r>
        <w:rPr>
          <w:rFonts w:hint="eastAsia" w:ascii="宋体" w:hAnsi="宋体" w:eastAsia="宋体" w:cs="宋体"/>
          <w:lang w:val="en-US" w:eastAsia="zh-CN"/>
        </w:rPr>
        <w:t>LSTM的食品中毒害物含量风险预测预警接口均可参照</w:t>
      </w:r>
      <w:r>
        <w:rPr>
          <w:rFonts w:hint="eastAsia" w:ascii="宋体" w:hAnsi="宋体" w:eastAsia="宋体" w:cs="宋体"/>
        </w:rPr>
        <w:t>鲜（冻）肉铅含量风险预测预警接口</w:t>
      </w:r>
      <w:r>
        <w:rPr>
          <w:rFonts w:hint="eastAsia" w:ascii="宋体" w:hAnsi="宋体" w:eastAsia="宋体" w:cs="宋体"/>
          <w:lang w:eastAsia="zh-CN"/>
        </w:rPr>
        <w:t>进行定义。</w:t>
      </w:r>
    </w:p>
    <w:p>
      <w:pPr>
        <w:pStyle w:val="4"/>
        <w:bidi w:val="0"/>
        <w:ind w:firstLine="0"/>
        <w:rPr>
          <w:rFonts w:hint="eastAsia" w:ascii="Times New Roman" w:hAnsi="Times New Roman"/>
          <w:b/>
          <w:lang w:val="en-US" w:eastAsia="zh-CN"/>
        </w:rPr>
      </w:pPr>
      <w:r>
        <w:rPr>
          <w:rFonts w:hint="eastAsia" w:ascii="Times New Roman" w:hAnsi="Times New Roman"/>
          <w:b/>
          <w:lang w:val="en-US" w:eastAsia="zh-CN"/>
        </w:rPr>
        <w:t>2.2.5 接口安全保证</w:t>
      </w:r>
    </w:p>
    <w:p>
      <w:pPr>
        <w:spacing w:line="400" w:lineRule="exact"/>
        <w:ind w:firstLine="480" w:firstLineChars="200"/>
        <w:jc w:val="left"/>
        <w:rPr>
          <w:rFonts w:hint="default" w:ascii="宋体" w:hAnsi="宋体" w:eastAsia="宋体" w:cs="宋体"/>
          <w:sz w:val="24"/>
          <w:lang w:val="en-US" w:eastAsia="zh-CN"/>
        </w:rPr>
      </w:pPr>
      <w:bookmarkStart w:id="0" w:name="_Toc470592927"/>
      <w:bookmarkStart w:id="1" w:name="_Toc464828697"/>
      <w:bookmarkStart w:id="2" w:name="_Toc470595844"/>
      <w:bookmarkStart w:id="3" w:name="_Toc470595398"/>
      <w:r>
        <w:rPr>
          <w:rFonts w:hint="eastAsia" w:ascii="宋体" w:hAnsi="宋体" w:eastAsia="宋体" w:cs="宋体"/>
          <w:sz w:val="24"/>
          <w:lang w:val="en-US" w:eastAsia="zh-CN"/>
        </w:rPr>
        <w:t>包含</w:t>
      </w:r>
      <w:r>
        <w:rPr>
          <w:rFonts w:hint="eastAsia" w:ascii="宋体" w:hAnsi="宋体" w:eastAsia="宋体" w:cs="宋体"/>
          <w:sz w:val="24"/>
        </w:rPr>
        <w:t>通信安全</w:t>
      </w:r>
      <w:bookmarkEnd w:id="0"/>
      <w:bookmarkEnd w:id="1"/>
      <w:bookmarkEnd w:id="2"/>
      <w:bookmarkEnd w:id="3"/>
      <w:r>
        <w:rPr>
          <w:rFonts w:hint="eastAsia" w:ascii="宋体" w:hAnsi="宋体" w:eastAsia="宋体" w:cs="宋体"/>
          <w:sz w:val="24"/>
          <w:lang w:val="en-US" w:eastAsia="zh-CN"/>
        </w:rPr>
        <w:t>和加密方式。</w:t>
      </w:r>
    </w:p>
    <w:p>
      <w:pPr>
        <w:pStyle w:val="2"/>
        <w:numPr>
          <w:ilvl w:val="0"/>
          <w:numId w:val="5"/>
        </w:numPr>
        <w:spacing w:before="156" w:after="156"/>
      </w:pPr>
      <w:r>
        <w:rPr>
          <w:rFonts w:hint="eastAsia"/>
        </w:rPr>
        <w:t>标准涉及的相关知识产权说明</w:t>
      </w:r>
    </w:p>
    <w:p>
      <w:pPr>
        <w:spacing w:line="400" w:lineRule="exact"/>
        <w:ind w:firstLine="480" w:firstLineChars="200"/>
        <w:rPr>
          <w:rFonts w:hint="eastAsia"/>
        </w:rPr>
      </w:pPr>
      <w:r>
        <w:rPr>
          <w:rFonts w:hint="eastAsia"/>
          <w:sz w:val="24"/>
        </w:rPr>
        <w:t>本标准不涉及专利问题。</w:t>
      </w:r>
    </w:p>
    <w:p>
      <w:pPr>
        <w:pStyle w:val="2"/>
        <w:bidi w:val="0"/>
        <w:rPr>
          <w:rFonts w:hint="eastAsia"/>
        </w:rPr>
      </w:pPr>
      <w:r>
        <w:rPr>
          <w:rFonts w:hint="eastAsia"/>
          <w:lang w:val="en-US" w:eastAsia="zh-CN"/>
        </w:rPr>
        <w:t>4.</w:t>
      </w:r>
      <w:r>
        <w:rPr>
          <w:rFonts w:hint="eastAsia"/>
        </w:rPr>
        <w:t>与现行法律法规、强制性标准和其他有关标准的关系，采用国际标准的程度及水平的简要说明；</w:t>
      </w:r>
    </w:p>
    <w:p>
      <w:pPr>
        <w:numPr>
          <w:ilvl w:val="0"/>
          <w:numId w:val="6"/>
        </w:numPr>
        <w:bidi w:val="0"/>
        <w:rPr>
          <w:rFonts w:hint="eastAsia"/>
          <w:lang w:val="en-US" w:eastAsia="zh-CN"/>
        </w:rPr>
      </w:pPr>
      <w:r>
        <w:rPr>
          <w:rFonts w:hint="eastAsia"/>
          <w:lang w:val="en-US" w:eastAsia="zh-CN"/>
        </w:rPr>
        <w:t>本标准与现行的法律、法规、规章制度等要求无冲突。</w:t>
      </w:r>
    </w:p>
    <w:p>
      <w:pPr>
        <w:numPr>
          <w:ilvl w:val="0"/>
          <w:numId w:val="6"/>
        </w:numPr>
        <w:bidi w:val="0"/>
        <w:rPr>
          <w:rFonts w:hint="default"/>
          <w:lang w:val="en-US" w:eastAsia="zh-CN"/>
        </w:rPr>
      </w:pPr>
      <w:r>
        <w:rPr>
          <w:rFonts w:hint="eastAsia"/>
          <w:lang w:val="en-US" w:eastAsia="zh-CN"/>
        </w:rPr>
        <w:t>本标准的格式、编制和表达方式，按国家标准的要求制定。</w:t>
      </w:r>
    </w:p>
    <w:p>
      <w:pPr>
        <w:numPr>
          <w:ilvl w:val="0"/>
          <w:numId w:val="6"/>
        </w:numPr>
        <w:bidi w:val="0"/>
        <w:rPr>
          <w:rFonts w:hint="eastAsia"/>
        </w:rPr>
      </w:pPr>
      <w:r>
        <w:rPr>
          <w:rFonts w:hint="eastAsia"/>
          <w:lang w:val="en-US" w:eastAsia="zh-CN"/>
        </w:rPr>
        <w:t>本标准未采用国际标准。</w:t>
      </w:r>
    </w:p>
    <w:p>
      <w:pPr>
        <w:pStyle w:val="3"/>
        <w:bidi w:val="0"/>
        <w:rPr>
          <w:rFonts w:hint="eastAsia"/>
        </w:rPr>
      </w:pPr>
      <w:r>
        <w:rPr>
          <w:rFonts w:hint="eastAsia"/>
          <w:lang w:val="en-US" w:eastAsia="zh-CN"/>
        </w:rPr>
        <w:t>5.</w:t>
      </w:r>
      <w:r>
        <w:rPr>
          <w:rFonts w:hint="eastAsia"/>
        </w:rPr>
        <w:t>重大分歧意见的处理经过和依据</w:t>
      </w:r>
    </w:p>
    <w:p>
      <w:pPr>
        <w:rPr>
          <w:rFonts w:hint="eastAsia"/>
          <w:lang w:eastAsia="zh-CN"/>
        </w:rPr>
      </w:pPr>
      <w:r>
        <w:rPr>
          <w:rFonts w:hint="eastAsia"/>
          <w:lang w:eastAsia="zh-CN"/>
        </w:rPr>
        <w:t>无</w:t>
      </w:r>
    </w:p>
    <w:p>
      <w:pPr>
        <w:pStyle w:val="3"/>
        <w:bidi w:val="0"/>
        <w:rPr>
          <w:rFonts w:hint="eastAsia"/>
        </w:rPr>
      </w:pPr>
      <w:r>
        <w:rPr>
          <w:rFonts w:hint="eastAsia"/>
          <w:lang w:val="en-US" w:eastAsia="zh-CN"/>
        </w:rPr>
        <w:t>6.</w:t>
      </w:r>
      <w:r>
        <w:rPr>
          <w:rFonts w:hint="eastAsia"/>
        </w:rPr>
        <w:t>贯彻促进会标准的要求和措施建议（包括组织措施、技术措施、过渡办法等内容）、标准实</w:t>
      </w:r>
      <w:bookmarkStart w:id="4" w:name="_GoBack"/>
      <w:bookmarkEnd w:id="4"/>
      <w:r>
        <w:rPr>
          <w:rFonts w:hint="eastAsia"/>
        </w:rPr>
        <w:t>施建议等；</w:t>
      </w:r>
    </w:p>
    <w:p>
      <w:pPr>
        <w:bidi w:val="0"/>
      </w:pPr>
      <w:r>
        <w:rPr>
          <w:rFonts w:hint="eastAsia"/>
        </w:rPr>
        <w:t>对于贯彻执行此标准的要求和措施建议：</w:t>
      </w:r>
    </w:p>
    <w:p>
      <w:pPr>
        <w:bidi w:val="0"/>
        <w:rPr>
          <w:rFonts w:hint="eastAsia"/>
        </w:rPr>
      </w:pPr>
      <w:r>
        <w:t>本标准颁布、贯彻实施前会及时在公众媒体、行业内部公开宣传。使相关单位能够积极主动的参加培训、结合本单位实际学习研究本标准并准备贯彻实施应用。标准归口单位进行宣贯指导</w:t>
      </w:r>
      <w:r>
        <w:rPr>
          <w:rFonts w:hint="eastAsia"/>
        </w:rPr>
        <w:t>。</w:t>
      </w:r>
    </w:p>
    <w:p>
      <w:pPr>
        <w:pStyle w:val="3"/>
        <w:bidi w:val="0"/>
        <w:rPr>
          <w:rFonts w:hint="eastAsia"/>
        </w:rPr>
      </w:pPr>
      <w:r>
        <w:rPr>
          <w:rFonts w:hint="eastAsia"/>
          <w:lang w:val="en-US" w:eastAsia="zh-CN"/>
        </w:rPr>
        <w:t>7.</w:t>
      </w:r>
      <w:r>
        <w:rPr>
          <w:rFonts w:hint="eastAsia"/>
        </w:rPr>
        <w:t>其他应予说明的事项。</w:t>
      </w:r>
    </w:p>
    <w:p>
      <w:pPr>
        <w:rPr>
          <w:rFonts w:hint="eastAsia" w:eastAsia="宋体"/>
          <w:lang w:eastAsia="zh-CN"/>
        </w:rPr>
      </w:pPr>
      <w:r>
        <w:rPr>
          <w:rFonts w:hint="eastAsia"/>
          <w:lang w:eastAsia="zh-CN"/>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DDBCF"/>
    <w:multiLevelType w:val="singleLevel"/>
    <w:tmpl w:val="CAFDDBCF"/>
    <w:lvl w:ilvl="0" w:tentative="0">
      <w:start w:val="1"/>
      <w:numFmt w:val="decimal"/>
      <w:suff w:val="nothing"/>
      <w:lvlText w:val="%1、"/>
      <w:lvlJc w:val="left"/>
    </w:lvl>
  </w:abstractNum>
  <w:abstractNum w:abstractNumId="1">
    <w:nsid w:val="2C5917C3"/>
    <w:multiLevelType w:val="multilevel"/>
    <w:tmpl w:val="2C5917C3"/>
    <w:lvl w:ilvl="0" w:tentative="0">
      <w:start w:val="1"/>
      <w:numFmt w:val="none"/>
      <w:pStyle w:val="10"/>
      <w:suff w:val="nothing"/>
      <w:lvlText w:val="%1——"/>
      <w:lvlJc w:val="left"/>
      <w:pPr>
        <w:ind w:left="1259"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9481A6B"/>
    <w:multiLevelType w:val="singleLevel"/>
    <w:tmpl w:val="49481A6B"/>
    <w:lvl w:ilvl="0" w:tentative="0">
      <w:start w:val="1"/>
      <w:numFmt w:val="decimal"/>
      <w:suff w:val="nothing"/>
      <w:lvlText w:val="（%1）"/>
      <w:lvlJc w:val="left"/>
    </w:lvl>
  </w:abstractNum>
  <w:abstractNum w:abstractNumId="3">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661441"/>
    <w:multiLevelType w:val="singleLevel"/>
    <w:tmpl w:val="6A661441"/>
    <w:lvl w:ilvl="0" w:tentative="0">
      <w:start w:val="1"/>
      <w:numFmt w:val="decimal"/>
      <w:suff w:val="nothing"/>
      <w:lvlText w:val="（%1）"/>
      <w:lvlJc w:val="left"/>
    </w:lvl>
  </w:abstractNum>
  <w:abstractNum w:abstractNumId="5">
    <w:nsid w:val="761BC66C"/>
    <w:multiLevelType w:val="singleLevel"/>
    <w:tmpl w:val="761BC66C"/>
    <w:lvl w:ilvl="0" w:tentative="0">
      <w:start w:val="3"/>
      <w:numFmt w:val="decimal"/>
      <w:suff w:val="nothing"/>
      <w:lvlText w:val="%1、"/>
      <w:lvlJc w:val="left"/>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C1868"/>
    <w:rsid w:val="0AFB5CB9"/>
    <w:rsid w:val="155C61F3"/>
    <w:rsid w:val="189C1868"/>
    <w:rsid w:val="47BE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napToGrid w:val="0"/>
      <w:spacing w:before="120" w:after="120" w:line="360" w:lineRule="auto"/>
      <w:ind w:firstLine="0" w:firstLineChars="0"/>
      <w:outlineLvl w:val="0"/>
    </w:pPr>
    <w:rPr>
      <w:rFonts w:ascii="Times New Roman" w:hAnsi="Times New Roman" w:eastAsia="黑体"/>
      <w:kern w:val="44"/>
      <w:sz w:val="28"/>
    </w:rPr>
  </w:style>
  <w:style w:type="paragraph" w:styleId="2">
    <w:name w:val="heading 2"/>
    <w:basedOn w:val="1"/>
    <w:next w:val="1"/>
    <w:unhideWhenUsed/>
    <w:qFormat/>
    <w:uiPriority w:val="0"/>
    <w:pPr>
      <w:keepNext/>
      <w:keepLines/>
      <w:spacing w:before="50" w:beforeLines="50" w:beforeAutospacing="0" w:after="50" w:afterLines="50" w:afterAutospacing="0" w:line="360" w:lineRule="auto"/>
      <w:ind w:firstLine="0" w:firstLineChars="0"/>
      <w:outlineLvl w:val="1"/>
    </w:pPr>
    <w:rPr>
      <w:rFonts w:ascii="Times New Roman" w:hAnsi="Times New Roman" w:eastAsia="黑体"/>
      <w:sz w:val="24"/>
    </w:rPr>
  </w:style>
  <w:style w:type="paragraph" w:styleId="4">
    <w:name w:val="heading 3"/>
    <w:basedOn w:val="1"/>
    <w:next w:val="1"/>
    <w:unhideWhenUsed/>
    <w:qFormat/>
    <w:uiPriority w:val="0"/>
    <w:pPr>
      <w:keepNext/>
      <w:keepLines/>
      <w:spacing w:before="120" w:beforeLines="0" w:beforeAutospacing="0" w:after="120" w:afterLines="0" w:afterAutospacing="0" w:line="360" w:lineRule="auto"/>
      <w:ind w:firstLine="0" w:firstLineChars="0"/>
      <w:outlineLvl w:val="2"/>
    </w:pPr>
    <w:rPr>
      <w:rFonts w:ascii="Times New Roman" w:hAnsi="Times New Roman"/>
      <w:b/>
      <w:sz w:val="24"/>
    </w:rPr>
  </w:style>
  <w:style w:type="paragraph" w:styleId="5">
    <w:name w:val="heading 4"/>
    <w:basedOn w:val="1"/>
    <w:next w:val="1"/>
    <w:unhideWhenUsed/>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列项——（一级）"/>
    <w:uiPriority w:val="0"/>
    <w:pPr>
      <w:widowControl w:val="0"/>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2021-09-17T07:57:00Z</dcterms:created>
  <dc:creator>admin</dc:creator>
  <cp:lastModifiedBy>admin</cp:lastModifiedBy>
  <dcterms:modified xsi:type="dcterms:W3CDTF">2021-09-18T09:45:31Z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EDF61289A18240669B893CF66293443D</vt:lpwstr>
  </property>
</Properties>
</file>