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《重大活动食品和毒害危险物质数据存储规范》</w:t>
      </w:r>
    </w:p>
    <w:p>
      <w:pPr>
        <w:pStyle w:val="3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团体标准编制说明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1、工作简况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1.1 任务来源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《重大活动食品和毒害危险物质数据存储规范》是基于国家重点研发计划项目《重大活动食品安全风险防控警务模式及关键技术研究》而提出的，本标准由</w:t>
      </w:r>
      <w:r>
        <w:rPr>
          <w:rFonts w:ascii="宋体" w:hAnsi="宋体" w:eastAsia="宋体" w:cs="宋体"/>
          <w:sz w:val="24"/>
          <w:highlight w:val="none"/>
        </w:rPr>
        <w:t xml:space="preserve"> 中国人民公安大学牵头负责</w:t>
      </w:r>
      <w:r>
        <w:rPr>
          <w:rFonts w:hint="eastAsia" w:ascii="宋体" w:hAnsi="宋体" w:eastAsia="宋体" w:cs="宋体"/>
          <w:sz w:val="24"/>
          <w:highlight w:val="none"/>
        </w:rPr>
        <w:t>，北方工业大学、北京工业大学、江苏华安博远检测技术有限公司联合共同制定。</w:t>
      </w:r>
    </w:p>
    <w:p>
      <w:pPr>
        <w:pStyle w:val="2"/>
        <w:spacing w:before="156" w:after="156"/>
        <w:rPr>
          <w:rFonts w:hint="eastAsia"/>
          <w:highlight w:val="none"/>
        </w:rPr>
      </w:pPr>
      <w:r>
        <w:rPr>
          <w:rFonts w:hint="eastAsia"/>
          <w:highlight w:val="none"/>
        </w:rPr>
        <w:t>1.2目的意义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2021年6月10日第十三届全国人民代表大会常务委员会第二十九次会议通过《中华人民共和国数据安全法》，规定相关行业组织按照章程,依法制定数据安全行为规范和团体标准,加强行业自律，指导会员加强数据安全保护，提高数据安全保护水平，促进行业健康发展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在信息化、网络化的环境中，大数据的时代已经到来,重大活动食品安全在决策过程中将根据数据,进行综合的分析,这有利于决策的成功。在互联网的时代能够利用计算机技术提高工作的效率，保证工作的质量。大数据的竞争将加激烈,大数据的技术需要不断的提升,才能保证国家的安全、社会的稳定。同时，大数据的商业化价值是巨大的,社会和政府对其的投入在不断增多,大数据将因此获得更多的发展机会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在大数据的场景下，其数据量呈现海量增涨的趋势,对存储的要求不断提升。非确定数据要求存储的组织方式与管理策略要与之相匹配;同时大数据有着较长的发展时间，并且要求存储要具备一定的规模并能够不断的扩展。在大数据场景下，存储技术要不断改进,才能满足大数据的需求,保证系统的正常操作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作为国家重点研发项目“重大活动食品安全警务情报研判技术及系统研发”项目课题组的中国人民公安大学，提出制定《重大活动食品和毒害危险物数据存储规范》团体标准。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本标准的制定对于实现重大活动食品安全风险态势的综合研判,智能决策及动态预警,具有重要现实意义。从而指导各地重大活动食品安全工作有序开展，确保重大活动顺利完成，为重大活动食品安全保驾护航。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1.3  国内外相关标准情况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《重大活动食品和毒害危险物数据存储规范》的制定以《信息技术大数据存储与处理系统功能要求》《工业大数据平 台技术规范数据存储》为基础，是重大活动食品安全警务情报研判系统的数据参考规范。国内外暂无《重大活动食品和毒害危险物数据存储规范》相关标准。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1.4  主要工作</w:t>
      </w:r>
    </w:p>
    <w:p>
      <w:pPr>
        <w:spacing w:line="4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（1）成立标准编制工作组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2021年5月，成立标准编制工作组，制定工作计划和落实方案，启动标准研究及编制工作。</w:t>
      </w:r>
    </w:p>
    <w:p>
      <w:pPr>
        <w:numPr>
          <w:ilvl w:val="0"/>
          <w:numId w:val="2"/>
        </w:numPr>
        <w:spacing w:line="4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调查研究、收集资料、撰写标准草案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标准编制工作组通过查阅相关文献，标准资料，了解国内外研究现状。</w:t>
      </w:r>
    </w:p>
    <w:p>
      <w:pPr>
        <w:numPr>
          <w:ilvl w:val="0"/>
          <w:numId w:val="2"/>
        </w:numPr>
        <w:spacing w:line="4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标准草案编制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开展标准起草工作，确定标准文本框架，本规范规定了重大活动食品和毒害危险物数据存储规范，包括食品分类、农药、兽药、微生物、污染物、生物毒素、营养素、致癌物、非法添加物和食品添加剂等数据的表结构、索引和分区方式。本规范适用于重大活动食品安全结构化数据的存储管理。</w:t>
      </w:r>
    </w:p>
    <w:p>
      <w:pPr>
        <w:rPr>
          <w:highlight w:val="none"/>
        </w:rPr>
      </w:pP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2、标准编制原则和标准的主要内容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2.1  标准编制原则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本标准的制定符合产业发展的原则，本着先进性、科学性和可操作性的原则及标准的目标性、统一性、协调性、适用性和规范性的原则来进行制定工作。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本标准起草过程主要按照《标准化工作导则 第1部分：标准化文件的结构和起草规则》（GB/T 1.1—2020）以及《标准编写规则 第5部分：规范标准》（GB/T 20001.5—2017）进行编写。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2.2  标准主要内容的制定</w:t>
      </w:r>
    </w:p>
    <w:p>
      <w:pPr>
        <w:spacing w:line="400" w:lineRule="exact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对于重大活动食品安全毒害危险物质数据的存储管理，需要设计数据存储的最基本内容包括表结构、索引和分区。表结构用于定义数据的组成和要素存储类型,索引和分区用于优化数据检索和管理性能。本标准规定了食品分类、农药、兽药、微生物、污染物、生物毒素、营养素、致癌物、非法添加物、食品添加剂等数据结构，数据表清单包括的内容。</w:t>
      </w:r>
    </w:p>
    <w:p>
      <w:pPr>
        <w:spacing w:line="400" w:lineRule="exact"/>
        <w:rPr>
          <w:rFonts w:hint="eastAsia"/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2.2.1  术语和定义</w:t>
      </w:r>
    </w:p>
    <w:p>
      <w:pPr>
        <w:spacing w:line="400" w:lineRule="exact"/>
        <w:ind w:firstLine="480" w:firstLineChars="20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本标准选取了使用次数较多，且在不同语境中理解不一致，属于本文件范围所限定领域内的术语进行了定义，其中重大活动与其他标准保持一致，数据库的定义改写了GB/T 5271.1《信息技术 词汇 第1部分：基本术语》，使数据库的表述更加贴合适用于本文件。表结构参考了一些行业标准，结合本标准的实际情况自行定义，索引和分区根据数据库实际需求定义。</w:t>
      </w:r>
    </w:p>
    <w:p>
      <w:pPr>
        <w:spacing w:line="400" w:lineRule="exact"/>
        <w:rPr>
          <w:rFonts w:hint="eastAsia"/>
          <w:b/>
          <w:bCs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2.2.2 技术规范说明</w:t>
      </w:r>
    </w:p>
    <w:p>
      <w:pPr>
        <w:spacing w:line="400" w:lineRule="exact"/>
        <w:ind w:firstLine="420" w:firstLineChars="200"/>
        <w:rPr>
          <w:rFonts w:hint="eastAsia" w:ascii="宋体" w:hAnsi="宋体" w:cs="宋体" w:eastAsiaTheme="minorEastAsia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为确保</w:t>
      </w:r>
      <w:r>
        <w:rPr>
          <w:rFonts w:hint="eastAsia" w:ascii="宋体" w:hAnsi="宋体" w:cs="宋体"/>
          <w:color w:val="000000"/>
          <w:szCs w:val="21"/>
          <w:highlight w:val="none"/>
        </w:rPr>
        <w:t>重大活动中食品及</w:t>
      </w:r>
      <w:r>
        <w:rPr>
          <w:rFonts w:hint="eastAsia"/>
          <w:color w:val="000000"/>
          <w:highlight w:val="none"/>
        </w:rPr>
        <w:t>毒害危险物质</w:t>
      </w:r>
      <w:r>
        <w:rPr>
          <w:rFonts w:hint="eastAsia" w:ascii="宋体" w:hAnsi="宋体" w:cs="宋体"/>
          <w:color w:val="000000"/>
          <w:szCs w:val="21"/>
          <w:highlight w:val="none"/>
        </w:rPr>
        <w:t>数据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能够合理的进行</w:t>
      </w:r>
      <w:r>
        <w:rPr>
          <w:rFonts w:hint="eastAsia" w:ascii="宋体" w:hAnsi="宋体" w:cs="宋体"/>
          <w:color w:val="000000"/>
          <w:szCs w:val="21"/>
          <w:highlight w:val="none"/>
        </w:rPr>
        <w:t>存储管理，按照数据存储的基本内容和原则，确立了表结构、索引和分区。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在本章对表结构、</w:t>
      </w:r>
      <w:r>
        <w:rPr>
          <w:rFonts w:hint="eastAsia" w:ascii="宋体" w:hAnsi="宋体" w:cs="宋体"/>
          <w:color w:val="000000"/>
          <w:szCs w:val="21"/>
          <w:highlight w:val="none"/>
        </w:rPr>
        <w:t>索引和分区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进行了介绍和解释说明，有利于下文中条款的统一应用。</w:t>
      </w:r>
    </w:p>
    <w:p>
      <w:pPr>
        <w:pStyle w:val="2"/>
        <w:rPr>
          <w:rFonts w:hint="default" w:ascii="宋体" w:hAnsi="宋体" w:cs="宋体" w:eastAsiaTheme="majorEastAsia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2.2.2.1  表结构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表结构用于定义数据的组成和要素存储类型，表结构的定义数据为各要素字段，包括要素名称、字段编码、数据类型以及字段的赋值说明等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,由于各要素的类型不一致，数据类型有数字型（</w:t>
      </w:r>
      <w:r>
        <w:rPr>
          <w:rFonts w:hint="eastAsia" w:hAnsi="宋体" w:cs="宋体"/>
          <w:color w:val="000000"/>
          <w:szCs w:val="21"/>
          <w:highlight w:val="none"/>
        </w:rPr>
        <w:t>NUMBER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）和字符串（</w:t>
      </w:r>
      <w:r>
        <w:rPr>
          <w:rFonts w:hint="eastAsia" w:hAnsi="宋体" w:cs="宋体"/>
          <w:color w:val="000000"/>
          <w:szCs w:val="21"/>
          <w:highlight w:val="none"/>
        </w:rPr>
        <w:t>VARCHAR2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）,如编号、分子量等均为数值，中文通用名称、理化性质等为字符串，此外沸点、熔点、闪点等字段虽然多为数值，但是部分情况存在范围或限制条件等情况需要采用字符串的形式，为了保持标准的统一性，采用字符串。如下所示：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274310" cy="2907665"/>
            <wp:effectExtent l="0" t="0" r="1397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270500" cy="3016885"/>
            <wp:effectExtent l="0" t="0" r="254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宋体" w:hAnsi="宋体" w:cs="宋体" w:eastAsiaTheme="majorEastAsia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2.2.2.2  索引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索引用于优化数据检索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</w:rPr>
        <w:t>一般索引，是为了提高应用检索效率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，可设置一个或多个索引。唯一索引</w:t>
      </w:r>
      <w:r>
        <w:rPr>
          <w:rFonts w:hint="eastAsia" w:ascii="宋体" w:hAnsi="宋体" w:eastAsia="宋体" w:cs="宋体"/>
          <w:sz w:val="24"/>
          <w:highlight w:val="none"/>
        </w:rPr>
        <w:t>是为了避免数据表中存在重复的键值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，一般为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1个。</w:t>
      </w:r>
    </w:p>
    <w:p>
      <w:pPr>
        <w:pStyle w:val="2"/>
        <w:rPr>
          <w:rFonts w:hint="eastAsia" w:hAnsi="宋体" w:eastAsia="宋体" w:cs="宋体"/>
          <w:color w:val="000000"/>
          <w:szCs w:val="21"/>
          <w:highlight w:val="none"/>
          <w:lang w:val="en-US" w:eastAsia="zh-CN"/>
        </w:rPr>
      </w:pPr>
      <w:r>
        <w:rPr>
          <w:rFonts w:hint="eastAsia" w:hAnsi="宋体" w:eastAsia="宋体" w:cs="宋体"/>
          <w:color w:val="000000"/>
          <w:szCs w:val="21"/>
          <w:highlight w:val="none"/>
          <w:lang w:val="en-US" w:eastAsia="zh-CN"/>
        </w:rPr>
        <w:t>2.2.2.3 分区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分区用于优化管理性能。一般都按时间范围进行分区，依据数据的规模大小，分区粒度可选择为月、日和小时。</w:t>
      </w:r>
    </w:p>
    <w:p>
      <w:pPr>
        <w:pStyle w:val="19"/>
        <w:numPr>
          <w:ilvl w:val="0"/>
          <w:numId w:val="0"/>
        </w:numPr>
        <w:ind w:leftChars="0"/>
        <w:rPr>
          <w:color w:val="000000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2.2.3 </w:t>
      </w:r>
      <w:bookmarkStart w:id="0" w:name="_Toc78485725"/>
      <w:r>
        <w:rPr>
          <w:rFonts w:hint="eastAsia"/>
          <w:color w:val="000000"/>
          <w:highlight w:val="none"/>
        </w:rPr>
        <w:t>基于毒害危险物质资料的存储规范</w:t>
      </w:r>
      <w:bookmarkEnd w:id="0"/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重大活动食品和毒害危险物数据存储规范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的核心内容为食品、食品添加剂、毒害危险物三部分，分别分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3章进行表现。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本章为</w:t>
      </w:r>
      <w:r>
        <w:rPr>
          <w:rFonts w:hint="eastAsia" w:ascii="宋体" w:hAnsi="宋体" w:eastAsia="宋体" w:cs="宋体"/>
          <w:sz w:val="24"/>
          <w:highlight w:val="none"/>
        </w:rPr>
        <w:t>毒害危险物质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内容，包括农药数据、兽药、微生物、污染物、生物毒素、致癌物和</w:t>
      </w:r>
      <w:r>
        <w:rPr>
          <w:rFonts w:hint="eastAsia" w:ascii="宋体" w:hAnsi="宋体" w:eastAsia="宋体" w:cs="宋体"/>
          <w:sz w:val="24"/>
          <w:highlight w:val="none"/>
        </w:rPr>
        <w:t>非法添加物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，表清单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包括表中文名、表名称和说明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，数据表清单结构类似。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国内农药、兽药、微生物、污染物、生物毒素都分别有相应的强制性限量标准，分别对应GB 2763《</w:t>
      </w:r>
      <w:r>
        <w:rPr>
          <w:rFonts w:hint="eastAsia" w:ascii="宋体" w:hAnsi="宋体" w:eastAsia="宋体" w:cs="宋体"/>
          <w:sz w:val="24"/>
          <w:highlight w:val="none"/>
        </w:rPr>
        <w:t>食品安全国家标准 食品中农药最大残留限量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》、</w:t>
      </w:r>
      <w:r>
        <w:rPr>
          <w:rFonts w:hint="eastAsia" w:ascii="宋体" w:hAnsi="宋体" w:eastAsia="宋体" w:cs="宋体"/>
          <w:sz w:val="24"/>
          <w:highlight w:val="none"/>
        </w:rPr>
        <w:t>GB 31650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sz w:val="24"/>
          <w:highlight w:val="none"/>
        </w:rPr>
        <w:t>食品安全国家标准 食品中兽药最大残留限量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》、</w:t>
      </w:r>
      <w:r>
        <w:rPr>
          <w:rFonts w:hint="eastAsia" w:ascii="宋体" w:hAnsi="宋体" w:eastAsia="宋体" w:cs="宋体"/>
          <w:sz w:val="24"/>
          <w:highlight w:val="none"/>
        </w:rPr>
        <w:t>GB 29921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highlight w:val="none"/>
        </w:rPr>
        <w:t>食品安全国家标准 食品中致病菌限量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》、</w:t>
      </w:r>
      <w:r>
        <w:rPr>
          <w:rFonts w:hint="eastAsia" w:ascii="宋体" w:hAnsi="宋体" w:eastAsia="宋体" w:cs="宋体"/>
          <w:sz w:val="24"/>
          <w:highlight w:val="none"/>
        </w:rPr>
        <w:t>GB 2762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highlight w:val="none"/>
        </w:rPr>
        <w:t>食品安全国家标准 食品中污染物限量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》、</w:t>
      </w:r>
      <w:r>
        <w:rPr>
          <w:rFonts w:hint="eastAsia" w:ascii="宋体" w:hAnsi="宋体" w:eastAsia="宋体" w:cs="宋体"/>
          <w:sz w:val="24"/>
          <w:highlight w:val="none"/>
        </w:rPr>
        <w:t>GB 2761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highlight w:val="none"/>
        </w:rPr>
        <w:t>食品安全国家标准 食品中真菌毒素限量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》</w:t>
      </w:r>
    </w:p>
    <w:p>
      <w:pPr>
        <w:spacing w:line="400" w:lineRule="exact"/>
        <w:ind w:firstLine="48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食品安全国家标准</w:t>
      </w:r>
      <w:r>
        <w:rPr>
          <w:rFonts w:hint="eastAsia" w:ascii="宋体" w:hAnsi="宋体" w:eastAsia="宋体" w:cs="宋体"/>
          <w:sz w:val="24"/>
          <w:highlight w:val="none"/>
        </w:rPr>
        <w:t>依据食品安全风险评估结果并充分考虑食用农产 品安全风险评估结果，参照相关的国际标准和国 际食品安全风险评估结果，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能够</w:t>
      </w:r>
      <w:r>
        <w:rPr>
          <w:rFonts w:hint="eastAsia" w:ascii="宋体" w:hAnsi="宋体" w:eastAsia="宋体" w:cs="宋体"/>
          <w:sz w:val="24"/>
          <w:highlight w:val="none"/>
        </w:rPr>
        <w:t>保 障公众身体健康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highlight w:val="none"/>
        </w:rPr>
        <w:t>科学合理、安全可靠。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因此在重大活动中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农药、兽药、微生物、污染物、生物毒素符合食品安全国家标准能够保证食品安全，因此在做数据存储的时候，要存储限量数据。这几个表清单包括基础物质数据和限量数据。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致癌物数据和非法添加物数据无限量数据，只对基础信息进行存储。</w:t>
      </w:r>
    </w:p>
    <w:p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2.2.3.1  物质信息表</w:t>
      </w:r>
    </w:p>
    <w:p>
      <w:p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物质信息综合了农药、兽药、微生物、污染物、生物毒素、营养素 、致癌物、非法添加物、添加剂的基础物质信息，根据系统需求确定存储要素，部分要素可能为空，存储时允许为空。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关于序号，ID统一为0，其他按顺序排列，为一级。此外有包含关系的分为两级，如理化性质包含外观与性状、沸点、熔点、闪点、蒸气压、水中溶解度等，则理化性质为一级（11），外观与性状（11.1）、沸点（11.2）、熔点（11.3）、闪点（11.4）、蒸气压（11.5）、水中溶解度（11.6）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ID为唯一索引，一般索引选择名称、CAS号等。分区月份进行分区。</w:t>
      </w:r>
    </w:p>
    <w:p>
      <w:pPr>
        <w:pStyle w:val="2"/>
        <w:rPr>
          <w:rFonts w:hint="eastAsia"/>
          <w:color w:val="000000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2.2.3.2 </w:t>
      </w:r>
      <w:r>
        <w:rPr>
          <w:rFonts w:hint="eastAsia"/>
          <w:color w:val="000000"/>
          <w:highlight w:val="none"/>
          <w:lang w:val="en-US" w:eastAsia="zh-CN"/>
        </w:rPr>
        <w:t>限量</w:t>
      </w:r>
      <w:r>
        <w:rPr>
          <w:rFonts w:hint="eastAsia"/>
          <w:color w:val="000000"/>
          <w:highlight w:val="none"/>
        </w:rPr>
        <w:t>数据表</w:t>
      </w:r>
    </w:p>
    <w:p>
      <w:p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根据食品安全国家标准规定的内容和格式限制数据类型。</w:t>
      </w:r>
    </w:p>
    <w:p>
      <w:pPr>
        <w:pStyle w:val="19"/>
        <w:numPr>
          <w:ilvl w:val="0"/>
          <w:numId w:val="0"/>
        </w:numPr>
        <w:ind w:leftChars="0"/>
        <w:rPr>
          <w:rFonts w:hint="eastAsia"/>
          <w:color w:val="000000"/>
          <w:highlight w:val="none"/>
          <w:lang w:eastAsia="zh-Hans"/>
        </w:rPr>
      </w:pPr>
      <w:r>
        <w:rPr>
          <w:rFonts w:hint="eastAsia"/>
          <w:highlight w:val="none"/>
          <w:lang w:val="en-US" w:eastAsia="zh-CN"/>
        </w:rPr>
        <w:t xml:space="preserve">2.2.4 </w:t>
      </w:r>
      <w:bookmarkStart w:id="1" w:name="_Toc78485735"/>
      <w:r>
        <w:rPr>
          <w:rFonts w:hint="eastAsia"/>
          <w:color w:val="000000"/>
          <w:highlight w:val="none"/>
          <w:lang w:eastAsia="zh-Hans"/>
        </w:rPr>
        <w:t>食品添加剂数据存储规范</w:t>
      </w:r>
      <w:bookmarkEnd w:id="1"/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食品添加剂按照食品安全国家标准GB 2760《食品安全国家标准 食品添加剂使用标准》和GB 14880《食品安全国家标准 食品营养强化剂使用标准》分开存储，包括基础物质数据和使用量数据。数据表根据食品安全国家标准规定的内容和格式限制数据类型。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由于营养强化剂数据表和食品添加剂有稍许不同，因此分别规定数据表结构。</w:t>
      </w:r>
    </w:p>
    <w:p>
      <w:pPr>
        <w:pStyle w:val="2"/>
        <w:rPr>
          <w:rFonts w:hint="eastAsia"/>
          <w:color w:val="000000"/>
          <w:highlight w:val="none"/>
          <w:lang w:eastAsia="zh-Hans"/>
        </w:rPr>
      </w:pPr>
      <w:r>
        <w:rPr>
          <w:rFonts w:hint="eastAsia"/>
          <w:highlight w:val="none"/>
          <w:lang w:val="en-US" w:eastAsia="zh-CN"/>
        </w:rPr>
        <w:t xml:space="preserve">2.2.5 </w:t>
      </w:r>
      <w:bookmarkStart w:id="2" w:name="_Toc78485737"/>
      <w:r>
        <w:rPr>
          <w:rFonts w:hint="eastAsia"/>
          <w:color w:val="000000"/>
          <w:highlight w:val="none"/>
          <w:lang w:eastAsia="zh-Hans"/>
        </w:rPr>
        <w:t>食品分类数据存储规范</w:t>
      </w:r>
      <w:bookmarkEnd w:id="2"/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目前国内没有统一的食品分类系统，各个通用食品安全国家标准食品分类也各不相同，因此食品分类数据为多个数据表，但数据表结构保持一致。</w:t>
      </w:r>
    </w:p>
    <w:p>
      <w:pPr>
        <w:bidi w:val="0"/>
        <w:rPr>
          <w:rFonts w:hint="default"/>
          <w:highlight w:val="none"/>
          <w:lang w:val="en-US" w:eastAsia="zh-CN"/>
        </w:rPr>
      </w:pPr>
    </w:p>
    <w:p>
      <w:pPr>
        <w:pStyle w:val="2"/>
        <w:numPr>
          <w:ilvl w:val="0"/>
          <w:numId w:val="3"/>
        </w:numPr>
        <w:spacing w:before="156" w:after="156"/>
        <w:rPr>
          <w:highlight w:val="none"/>
        </w:rPr>
      </w:pPr>
      <w:r>
        <w:rPr>
          <w:rFonts w:hint="eastAsia"/>
          <w:highlight w:val="none"/>
        </w:rPr>
        <w:t>标准涉及的相关知识产权说明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本标准不涉及专利问题。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4、与现行法律法规、强制性标准和其他有关标准的关系，采用国际标准的程度及水平的简要说明</w:t>
      </w:r>
    </w:p>
    <w:p>
      <w:pPr>
        <w:spacing w:line="400" w:lineRule="atLeas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本标准符合相关法律法规要求，技术指标不低于强制性国家标准相关技术要求，本标准没有采用国际标准。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/>
          <w:highlight w:val="none"/>
        </w:rPr>
        <w:t>5、贯彻促进会标准的要求和措施建议（包括组织措施、技术措施、过渡办法等内容）、标准实施建议等；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对于贯彻执行此标准的要求和措施建议：</w:t>
      </w:r>
    </w:p>
    <w:p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本标准颁布、贯彻实施前会及时在公众媒体、行业内部公开宣传。使相关单位能够积极主动的参加培训、结合本单位实际学习研究本标准并准备贯彻实施应用。标准归口单位进行宣贯指导</w:t>
      </w:r>
      <w:r>
        <w:rPr>
          <w:rFonts w:hint="eastAsia"/>
          <w:sz w:val="24"/>
          <w:highlight w:val="none"/>
        </w:rPr>
        <w:t>。</w:t>
      </w:r>
    </w:p>
    <w:p>
      <w:pPr>
        <w:pStyle w:val="2"/>
        <w:numPr>
          <w:ilvl w:val="0"/>
          <w:numId w:val="4"/>
        </w:numPr>
        <w:spacing w:before="156" w:after="156"/>
        <w:rPr>
          <w:highlight w:val="none"/>
        </w:rPr>
      </w:pPr>
      <w:r>
        <w:rPr>
          <w:rFonts w:hint="eastAsia"/>
          <w:highlight w:val="none"/>
        </w:rPr>
        <w:t>其他需要说明的事项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无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8397B"/>
    <w:multiLevelType w:val="singleLevel"/>
    <w:tmpl w:val="AD68397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61BC66C"/>
    <w:multiLevelType w:val="singleLevel"/>
    <w:tmpl w:val="761BC66C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70627AA"/>
    <w:multiLevelType w:val="singleLevel"/>
    <w:tmpl w:val="770627A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1"/>
    <w:rsid w:val="003A3721"/>
    <w:rsid w:val="00BB7CBC"/>
    <w:rsid w:val="00D74C2B"/>
    <w:rsid w:val="00ED53E1"/>
    <w:rsid w:val="00F971AC"/>
    <w:rsid w:val="01872DAD"/>
    <w:rsid w:val="01FC6340"/>
    <w:rsid w:val="020E3881"/>
    <w:rsid w:val="02F0165B"/>
    <w:rsid w:val="02FC5AEF"/>
    <w:rsid w:val="04D56532"/>
    <w:rsid w:val="063518FA"/>
    <w:rsid w:val="06396175"/>
    <w:rsid w:val="074F1358"/>
    <w:rsid w:val="075C5FE8"/>
    <w:rsid w:val="07970832"/>
    <w:rsid w:val="07A075C7"/>
    <w:rsid w:val="07DA47AE"/>
    <w:rsid w:val="08E25EE3"/>
    <w:rsid w:val="099C4AB8"/>
    <w:rsid w:val="0A2C0BAA"/>
    <w:rsid w:val="0A8D6AC7"/>
    <w:rsid w:val="0DFD1FBE"/>
    <w:rsid w:val="0E004DA8"/>
    <w:rsid w:val="0E3C506C"/>
    <w:rsid w:val="0E590F9D"/>
    <w:rsid w:val="0F7713CE"/>
    <w:rsid w:val="143068FA"/>
    <w:rsid w:val="14D55951"/>
    <w:rsid w:val="15321D44"/>
    <w:rsid w:val="15811340"/>
    <w:rsid w:val="15B61899"/>
    <w:rsid w:val="16A47D46"/>
    <w:rsid w:val="178C28EA"/>
    <w:rsid w:val="18306ADF"/>
    <w:rsid w:val="18FE73F2"/>
    <w:rsid w:val="1A8A08E9"/>
    <w:rsid w:val="1ADF379C"/>
    <w:rsid w:val="1B273553"/>
    <w:rsid w:val="1BA43249"/>
    <w:rsid w:val="1BCA7AFD"/>
    <w:rsid w:val="1C533B93"/>
    <w:rsid w:val="1D014D4E"/>
    <w:rsid w:val="1D2C1B9D"/>
    <w:rsid w:val="1DD54997"/>
    <w:rsid w:val="1E9321F6"/>
    <w:rsid w:val="21AC1754"/>
    <w:rsid w:val="21AD27D8"/>
    <w:rsid w:val="21BB3E70"/>
    <w:rsid w:val="21D96579"/>
    <w:rsid w:val="21DF0690"/>
    <w:rsid w:val="223700BA"/>
    <w:rsid w:val="23016FFE"/>
    <w:rsid w:val="238F14CF"/>
    <w:rsid w:val="24A9128F"/>
    <w:rsid w:val="25C45986"/>
    <w:rsid w:val="269313F5"/>
    <w:rsid w:val="2726790B"/>
    <w:rsid w:val="27782B5A"/>
    <w:rsid w:val="27DD61AE"/>
    <w:rsid w:val="287B6F9A"/>
    <w:rsid w:val="28906607"/>
    <w:rsid w:val="28CE07C2"/>
    <w:rsid w:val="2A8066FB"/>
    <w:rsid w:val="2AE33E25"/>
    <w:rsid w:val="2B353628"/>
    <w:rsid w:val="2C820C26"/>
    <w:rsid w:val="2CE73BBA"/>
    <w:rsid w:val="2D237AD7"/>
    <w:rsid w:val="2D24693D"/>
    <w:rsid w:val="2E817130"/>
    <w:rsid w:val="2EB95AD6"/>
    <w:rsid w:val="301918F8"/>
    <w:rsid w:val="30490D36"/>
    <w:rsid w:val="30590632"/>
    <w:rsid w:val="308734E5"/>
    <w:rsid w:val="30E64408"/>
    <w:rsid w:val="30FA2A33"/>
    <w:rsid w:val="316F33EB"/>
    <w:rsid w:val="31E13C5C"/>
    <w:rsid w:val="326607DC"/>
    <w:rsid w:val="330A687A"/>
    <w:rsid w:val="336861CE"/>
    <w:rsid w:val="33CB341C"/>
    <w:rsid w:val="33FB665A"/>
    <w:rsid w:val="36FC208E"/>
    <w:rsid w:val="376446E2"/>
    <w:rsid w:val="383C1AD4"/>
    <w:rsid w:val="388854EE"/>
    <w:rsid w:val="38B70545"/>
    <w:rsid w:val="38C61112"/>
    <w:rsid w:val="38D55CF3"/>
    <w:rsid w:val="39052637"/>
    <w:rsid w:val="3A1C0031"/>
    <w:rsid w:val="3A77416A"/>
    <w:rsid w:val="3B0241BE"/>
    <w:rsid w:val="3B763C10"/>
    <w:rsid w:val="3B96711C"/>
    <w:rsid w:val="3E2A4DE1"/>
    <w:rsid w:val="3F17569F"/>
    <w:rsid w:val="3FB406EF"/>
    <w:rsid w:val="4049170D"/>
    <w:rsid w:val="41553F18"/>
    <w:rsid w:val="41E52010"/>
    <w:rsid w:val="426232ED"/>
    <w:rsid w:val="42BE711C"/>
    <w:rsid w:val="43400EF4"/>
    <w:rsid w:val="4487194E"/>
    <w:rsid w:val="45F17798"/>
    <w:rsid w:val="46550258"/>
    <w:rsid w:val="465C2494"/>
    <w:rsid w:val="46B15599"/>
    <w:rsid w:val="47356FED"/>
    <w:rsid w:val="4B7C274F"/>
    <w:rsid w:val="4D234A29"/>
    <w:rsid w:val="4D865B7E"/>
    <w:rsid w:val="4E185F5A"/>
    <w:rsid w:val="4E3772B6"/>
    <w:rsid w:val="4FFA52D2"/>
    <w:rsid w:val="500A54B5"/>
    <w:rsid w:val="513F5F54"/>
    <w:rsid w:val="514939B8"/>
    <w:rsid w:val="52B919B8"/>
    <w:rsid w:val="536B6DCF"/>
    <w:rsid w:val="537671CF"/>
    <w:rsid w:val="547B2637"/>
    <w:rsid w:val="5721466A"/>
    <w:rsid w:val="58A40A31"/>
    <w:rsid w:val="593A20CE"/>
    <w:rsid w:val="59734206"/>
    <w:rsid w:val="59CD4606"/>
    <w:rsid w:val="5A902C1E"/>
    <w:rsid w:val="5A9515E2"/>
    <w:rsid w:val="5B1D7681"/>
    <w:rsid w:val="5B2666AB"/>
    <w:rsid w:val="5BAD10F3"/>
    <w:rsid w:val="5CA5550D"/>
    <w:rsid w:val="5CDA29C1"/>
    <w:rsid w:val="5D324288"/>
    <w:rsid w:val="5D6C5E08"/>
    <w:rsid w:val="5E581E3E"/>
    <w:rsid w:val="5EA873C1"/>
    <w:rsid w:val="5EDF1C56"/>
    <w:rsid w:val="5EE32F41"/>
    <w:rsid w:val="5F1A35E9"/>
    <w:rsid w:val="6014389A"/>
    <w:rsid w:val="60632154"/>
    <w:rsid w:val="608B7CF1"/>
    <w:rsid w:val="61E769EA"/>
    <w:rsid w:val="622B484E"/>
    <w:rsid w:val="62C716F7"/>
    <w:rsid w:val="6443309A"/>
    <w:rsid w:val="65315B69"/>
    <w:rsid w:val="65F2042C"/>
    <w:rsid w:val="662875B0"/>
    <w:rsid w:val="66844276"/>
    <w:rsid w:val="66EF2651"/>
    <w:rsid w:val="67495E28"/>
    <w:rsid w:val="690E574E"/>
    <w:rsid w:val="6AC4630D"/>
    <w:rsid w:val="6BFA6868"/>
    <w:rsid w:val="6C903101"/>
    <w:rsid w:val="6CDD1929"/>
    <w:rsid w:val="6D842F75"/>
    <w:rsid w:val="6FE23186"/>
    <w:rsid w:val="70171B1D"/>
    <w:rsid w:val="70403533"/>
    <w:rsid w:val="70C7697E"/>
    <w:rsid w:val="711A7C36"/>
    <w:rsid w:val="72296452"/>
    <w:rsid w:val="725E6B7F"/>
    <w:rsid w:val="725E72BC"/>
    <w:rsid w:val="72BC77B0"/>
    <w:rsid w:val="73463C49"/>
    <w:rsid w:val="73A9111E"/>
    <w:rsid w:val="73BC657E"/>
    <w:rsid w:val="743B5E87"/>
    <w:rsid w:val="7443416A"/>
    <w:rsid w:val="75BD4EA2"/>
    <w:rsid w:val="76920353"/>
    <w:rsid w:val="771735EF"/>
    <w:rsid w:val="77521402"/>
    <w:rsid w:val="78A54ACC"/>
    <w:rsid w:val="78D97489"/>
    <w:rsid w:val="792A14ED"/>
    <w:rsid w:val="79425A2F"/>
    <w:rsid w:val="796E34A2"/>
    <w:rsid w:val="798A137B"/>
    <w:rsid w:val="7A0D594F"/>
    <w:rsid w:val="7A253941"/>
    <w:rsid w:val="7A361BF9"/>
    <w:rsid w:val="7A692EE2"/>
    <w:rsid w:val="7B4F5D9B"/>
    <w:rsid w:val="7BEC1680"/>
    <w:rsid w:val="7C2C54D6"/>
    <w:rsid w:val="7C833F2C"/>
    <w:rsid w:val="7D1D4E68"/>
    <w:rsid w:val="7E010E51"/>
    <w:rsid w:val="7EA561FB"/>
    <w:rsid w:val="7F552383"/>
    <w:rsid w:val="7F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50" w:beforeLines="50" w:after="50" w:afterLines="50" w:line="500" w:lineRule="exact"/>
      <w:jc w:val="left"/>
      <w:outlineLvl w:val="1"/>
    </w:pPr>
    <w:rPr>
      <w:rFonts w:cs="宋体" w:asciiTheme="majorHAnsi" w:hAnsiTheme="majorHAnsi" w:eastAsiaTheme="majorEastAsia"/>
      <w:b/>
      <w:bCs/>
      <w:sz w:val="24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黑体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标题 3 Char"/>
    <w:link w:val="4"/>
    <w:qFormat/>
    <w:uiPriority w:val="0"/>
    <w:rPr>
      <w:rFonts w:eastAsia="黑体" w:asciiTheme="minorHAnsi" w:hAnsiTheme="minorHAnsi"/>
      <w:sz w:val="24"/>
    </w:rPr>
  </w:style>
  <w:style w:type="paragraph" w:customStyle="1" w:styleId="15">
    <w:name w:val="前言"/>
    <w:next w:val="1"/>
    <w:qFormat/>
    <w:uiPriority w:val="0"/>
    <w:pPr>
      <w:spacing w:before="850" w:after="680"/>
      <w:jc w:val="center"/>
    </w:pPr>
    <w:rPr>
      <w:rFonts w:ascii="Times New Roman" w:hAnsi="Times New Roman" w:eastAsia="黑体" w:cstheme="minorBidi"/>
      <w:sz w:val="32"/>
      <w:lang w:val="en-US" w:eastAsia="zh-CN" w:bidi="ar-SA"/>
    </w:rPr>
  </w:style>
  <w:style w:type="character" w:customStyle="1" w:styleId="16">
    <w:name w:val="批注框文本 Char"/>
    <w:basedOn w:val="11"/>
    <w:link w:val="6"/>
    <w:qFormat/>
    <w:uiPriority w:val="0"/>
    <w:rPr>
      <w:rFonts w:cs="Arial" w:asciiTheme="minorHAnsi" w:hAnsiTheme="minorHAnsi" w:eastAsiaTheme="minorEastAsia"/>
      <w:kern w:val="2"/>
      <w:sz w:val="18"/>
      <w:szCs w:val="18"/>
    </w:rPr>
  </w:style>
  <w:style w:type="paragraph" w:customStyle="1" w:styleId="1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章标题"/>
    <w:next w:val="18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285</Words>
  <Characters>1625</Characters>
  <Lines>13</Lines>
  <Paragraphs>3</Paragraphs>
  <TotalTime>26</TotalTime>
  <ScaleCrop>false</ScaleCrop>
  <LinksUpToDate>false</LinksUpToDate>
  <CharactersWithSpaces>1907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2021-08-03T04:29:00Z</dcterms:created>
  <dc:creator>dell</dc:creator>
  <cp:lastModifiedBy>admin</cp:lastModifiedBy>
  <dcterms:modified xsi:type="dcterms:W3CDTF">2021-09-22T02:42:25Z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696255FD7B8D40F7ABBA002BA91EBCB7</vt:lpwstr>
  </property>
</Properties>
</file>