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E27E" w14:textId="77777777" w:rsidR="00B76695" w:rsidRDefault="00FC27A8">
      <w:pPr>
        <w:pStyle w:val="3"/>
        <w:jc w:val="center"/>
        <w:rPr>
          <w:rFonts w:ascii="宋体" w:hAnsi="宋体"/>
        </w:rPr>
      </w:pPr>
      <w:bookmarkStart w:id="0" w:name="_Toc384593522"/>
      <w:bookmarkStart w:id="1" w:name="_Toc421543628"/>
      <w:r>
        <w:rPr>
          <w:rFonts w:hint="eastAsia"/>
        </w:rPr>
        <w:t>《</w:t>
      </w:r>
      <w:bookmarkStart w:id="2" w:name="_Toc3914"/>
      <w:bookmarkStart w:id="3" w:name="_Toc942019"/>
      <w:bookmarkStart w:id="4" w:name="_Toc942348"/>
      <w:bookmarkStart w:id="5" w:name="_Toc14709"/>
      <w:bookmarkStart w:id="6" w:name="_Toc1651882"/>
      <w:bookmarkStart w:id="7" w:name="_Toc15926"/>
      <w:bookmarkStart w:id="8" w:name="_Toc39659926"/>
      <w:bookmarkStart w:id="9" w:name="_Toc32561"/>
      <w:bookmarkStart w:id="10" w:name="_Toc15930"/>
      <w:bookmarkStart w:id="11" w:name="_Toc32581"/>
      <w:bookmarkStart w:id="12" w:name="_Toc947"/>
      <w:bookmarkStart w:id="13" w:name="_Toc27802"/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烟酰胺单核苷酸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/>
        </w:rPr>
        <w:t>产品要求和测试方法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rFonts w:hint="eastAsia"/>
        </w:rPr>
        <w:t>征求意见稿</w:t>
      </w:r>
      <w:r>
        <w:rPr>
          <w:rFonts w:hint="eastAsia"/>
        </w:rPr>
        <w:t>）</w:t>
      </w:r>
      <w:r>
        <w:rPr>
          <w:rFonts w:ascii="宋体" w:hAnsi="宋体" w:hint="eastAsia"/>
        </w:rPr>
        <w:t>编制说</w:t>
      </w:r>
      <w:r>
        <w:rPr>
          <w:rFonts w:ascii="宋体" w:hAnsi="宋体" w:hint="eastAsia"/>
        </w:rPr>
        <w:t>明</w:t>
      </w:r>
    </w:p>
    <w:bookmarkEnd w:id="0"/>
    <w:bookmarkEnd w:id="1"/>
    <w:p w14:paraId="0CAAB865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一、工作简况，包括任务来源、协作单位、主要工作、团体标准主要起草人及其所承担的工作等</w:t>
      </w:r>
    </w:p>
    <w:p w14:paraId="0C70AC26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</w:t>
      </w:r>
      <w:r>
        <w:rPr>
          <w:rFonts w:ascii="黑体" w:eastAsia="黑体" w:hint="eastAsia"/>
          <w:sz w:val="24"/>
        </w:rPr>
        <w:t>任务来源</w:t>
      </w:r>
    </w:p>
    <w:p w14:paraId="5988DCC9" w14:textId="77777777" w:rsidR="00B76695" w:rsidRDefault="00FC27A8">
      <w:pPr>
        <w:pStyle w:val="af1"/>
        <w:spacing w:line="360" w:lineRule="auto"/>
        <w:ind w:firstLine="480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《β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-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烟酰胺单核苷酸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产品要求和测试方法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》团体标准是由中国食品药品企业质量安全促进会批准立项，计划号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FDSA-2021-ZL-01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。</w:t>
      </w:r>
    </w:p>
    <w:p w14:paraId="728AE096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2.</w:t>
      </w:r>
      <w:r>
        <w:rPr>
          <w:rFonts w:ascii="黑体" w:eastAsia="黑体" w:hint="eastAsia"/>
          <w:sz w:val="24"/>
        </w:rPr>
        <w:t>协作单位</w:t>
      </w:r>
    </w:p>
    <w:p w14:paraId="54D6C4F7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邦泰生物工程（深圳）有限公司、华熙生物科技股份有限公司、苏州引航生物科技有限公司、北京国康健康服务研究院、中国食品药品企业质量安全促进会、杭州瑞旭科技集团有限公司、深圳瑞德林生物技术有限公司、上海诚一芸健康管理咨询有限公司、康盈红莓（中山）生物科技有限公司、湖北广辰生物科技有限公司、山东颐然健康科技集团有限公司、奕柯莱生物科技（上海）股份有限公司。</w:t>
      </w:r>
    </w:p>
    <w:p w14:paraId="4E4F15EA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3.</w:t>
      </w:r>
      <w:r>
        <w:rPr>
          <w:rFonts w:ascii="黑体" w:eastAsia="黑体" w:hint="eastAsia"/>
          <w:sz w:val="24"/>
        </w:rPr>
        <w:t>主要工作</w:t>
      </w:r>
    </w:p>
    <w:p w14:paraId="4B089836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起草阶段：</w:t>
      </w:r>
    </w:p>
    <w:p w14:paraId="23C4202B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2021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z w:val="24"/>
          <w:szCs w:val="24"/>
        </w:rPr>
        <w:t>月，成立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>
        <w:rPr>
          <w:rFonts w:asciiTheme="minorEastAsia" w:eastAsiaTheme="minorEastAsia" w:hAnsiTheme="minorEastAsia" w:hint="eastAsia"/>
          <w:sz w:val="24"/>
          <w:szCs w:val="24"/>
        </w:rPr>
        <w:t>团体标准起草工作组。搜集国内外有关标准，结合企业标准，起草标准草案，并按照中国食品药品企业质量安全促进会团标管理办法要求，准备立项相关材料。</w:t>
      </w:r>
    </w:p>
    <w:p w14:paraId="3612CF37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2021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13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工作组召开了线上讨论会，讨论并完善了文本相关技术内容。会后补充了相关资料，进一步对立项文件进行了整理。</w:t>
      </w:r>
    </w:p>
    <w:p w14:paraId="0AA4304C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2021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>12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>22-23</w:t>
      </w:r>
      <w:r>
        <w:rPr>
          <w:rFonts w:asciiTheme="minorEastAsia" w:eastAsiaTheme="minorEastAsia" w:hAnsiTheme="minorEastAsia"/>
          <w:sz w:val="24"/>
          <w:szCs w:val="24"/>
        </w:rPr>
        <w:t>日，</w:t>
      </w:r>
      <w:r>
        <w:rPr>
          <w:rFonts w:asciiTheme="minorEastAsia" w:eastAsiaTheme="minorEastAsia" w:hAnsiTheme="minorEastAsia" w:hint="eastAsia"/>
          <w:sz w:val="24"/>
          <w:szCs w:val="24"/>
        </w:rPr>
        <w:t>工作组</w:t>
      </w:r>
      <w:r>
        <w:rPr>
          <w:rFonts w:asciiTheme="minorEastAsia" w:eastAsiaTheme="minorEastAsia" w:hAnsiTheme="minorEastAsia"/>
          <w:sz w:val="24"/>
          <w:szCs w:val="24"/>
        </w:rPr>
        <w:t>对立项审查专家的意见进行处理，修改完善相关文件。</w:t>
      </w:r>
    </w:p>
    <w:p w14:paraId="57DD99BE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2021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24</w:t>
      </w:r>
      <w:r>
        <w:rPr>
          <w:rFonts w:asciiTheme="minorEastAsia" w:eastAsiaTheme="minorEastAsia" w:hAnsiTheme="minorEastAsia" w:hint="eastAsia"/>
          <w:sz w:val="24"/>
          <w:szCs w:val="24"/>
        </w:rPr>
        <w:t>日，</w:t>
      </w:r>
      <w:r>
        <w:rPr>
          <w:rFonts w:asciiTheme="minorEastAsia" w:eastAsiaTheme="minorEastAsia" w:hAnsiTheme="minorEastAsia" w:hint="eastAsia"/>
          <w:sz w:val="24"/>
          <w:szCs w:val="24"/>
        </w:rPr>
        <w:t>工作组代表参加了</w:t>
      </w:r>
      <w:r>
        <w:rPr>
          <w:rFonts w:asciiTheme="minorEastAsia" w:eastAsiaTheme="minorEastAsia" w:hAnsiTheme="minorEastAsia" w:hint="eastAsia"/>
          <w:sz w:val="24"/>
          <w:szCs w:val="24"/>
        </w:rPr>
        <w:t>中国食品药品企业质量安全促进会</w:t>
      </w:r>
      <w:r>
        <w:rPr>
          <w:rFonts w:asciiTheme="minorEastAsia" w:eastAsiaTheme="minorEastAsia" w:hAnsiTheme="minorEastAsia" w:hint="eastAsia"/>
          <w:sz w:val="24"/>
          <w:szCs w:val="24"/>
        </w:rPr>
        <w:t>组织的团标立项答辩会。</w:t>
      </w:r>
      <w:r>
        <w:rPr>
          <w:rFonts w:asciiTheme="minorEastAsia" w:eastAsiaTheme="minorEastAsia" w:hAnsiTheme="minorEastAsia" w:hint="eastAsia"/>
          <w:sz w:val="24"/>
          <w:szCs w:val="24"/>
        </w:rPr>
        <w:t>与会专家均投票同意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>
        <w:rPr>
          <w:rFonts w:asciiTheme="minorEastAsia" w:eastAsiaTheme="minorEastAsia" w:hAnsiTheme="minorEastAsia" w:hint="eastAsia"/>
          <w:sz w:val="24"/>
          <w:szCs w:val="24"/>
        </w:rPr>
        <w:t>团体标准的立项。</w:t>
      </w:r>
    </w:p>
    <w:p w14:paraId="6B5FE876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-4</w:t>
      </w:r>
      <w:r>
        <w:rPr>
          <w:rFonts w:asciiTheme="minorEastAsia" w:eastAsiaTheme="minorEastAsia" w:hAnsiTheme="minorEastAsia" w:hint="eastAsia"/>
          <w:sz w:val="24"/>
          <w:szCs w:val="24"/>
        </w:rPr>
        <w:t>月，标准</w:t>
      </w:r>
      <w:r>
        <w:rPr>
          <w:rFonts w:asciiTheme="minorEastAsia" w:eastAsiaTheme="minorEastAsia" w:hAnsiTheme="minorEastAsia" w:hint="eastAsia"/>
          <w:sz w:val="24"/>
          <w:szCs w:val="24"/>
        </w:rPr>
        <w:t>根据立项会专家意见及工作计划，通过研讨、调研、试验验证等方式，进一步修改完善标准。</w:t>
      </w:r>
    </w:p>
    <w:p w14:paraId="5965D9EC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sz w:val="24"/>
          <w:szCs w:val="24"/>
        </w:rPr>
        <w:t>日，工作组召开标准研讨会，会议对主要技术指标和试验方法展开了充分讨论。会后，工作组内部又经反复沟通，最终于</w:t>
      </w: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月下旬形成征求意见稿上报协会征求意见。</w:t>
      </w:r>
    </w:p>
    <w:p w14:paraId="336611AB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征求意见阶段：</w:t>
      </w:r>
    </w:p>
    <w:p w14:paraId="6DC0AC47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审查阶段：</w:t>
      </w:r>
    </w:p>
    <w:p w14:paraId="139E13DC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黑体" w:eastAsia="黑体" w:hint="eastAsia"/>
          <w:sz w:val="24"/>
        </w:rPr>
        <w:t>报批阶段：</w:t>
      </w:r>
    </w:p>
    <w:p w14:paraId="326CA056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4.</w:t>
      </w:r>
      <w:r>
        <w:rPr>
          <w:rFonts w:ascii="黑体" w:eastAsia="黑体" w:hint="eastAsia"/>
          <w:sz w:val="24"/>
        </w:rPr>
        <w:t>团体标准主要起草人及其所承担的工作</w:t>
      </w:r>
    </w:p>
    <w:p w14:paraId="0C4FCCAD" w14:textId="5CFC41F0" w:rsidR="00B76695" w:rsidRDefault="00FC27A8">
      <w:pPr>
        <w:spacing w:line="360" w:lineRule="auto"/>
        <w:ind w:firstLineChars="200" w:firstLine="480"/>
        <w:rPr>
          <w:rFonts w:ascii="ˎ̥" w:hAnsi="ˎ̥" w:hint="eastAsia"/>
          <w:sz w:val="24"/>
        </w:rPr>
      </w:pPr>
      <w:r>
        <w:rPr>
          <w:rFonts w:ascii="ˎ̥" w:hAnsi="ˎ̥" w:hint="eastAsia"/>
          <w:sz w:val="24"/>
        </w:rPr>
        <w:t>本标准主要起草人：梁伟森、付杰、谢新开、黄晓飞、姜姗、俞秋莉、刘建、李泼、程丹、金彩科、陈绍彦、赵波、徐斌、</w:t>
      </w:r>
      <w:r w:rsidR="007F3CCF">
        <w:rPr>
          <w:rFonts w:ascii="ˎ̥" w:hAnsi="ˎ̥" w:hint="eastAsia"/>
          <w:sz w:val="24"/>
        </w:rPr>
        <w:t>张琦、张天萌、</w:t>
      </w:r>
      <w:r>
        <w:rPr>
          <w:rFonts w:ascii="ˎ̥" w:hAnsi="ˎ̥" w:hint="eastAsia"/>
          <w:sz w:val="24"/>
        </w:rPr>
        <w:t>邹奔</w:t>
      </w:r>
      <w:r>
        <w:rPr>
          <w:rFonts w:ascii="ˎ̥" w:hAnsi="ˎ̥" w:hint="eastAsia"/>
          <w:sz w:val="24"/>
        </w:rPr>
        <w:t>。</w:t>
      </w:r>
    </w:p>
    <w:p w14:paraId="6C6BBC9F" w14:textId="2208E060" w:rsidR="00B76695" w:rsidRDefault="00FC27A8">
      <w:pPr>
        <w:spacing w:line="360" w:lineRule="auto"/>
        <w:ind w:leftChars="1" w:left="2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承担的工作：</w:t>
      </w:r>
      <w:r>
        <w:rPr>
          <w:rFonts w:ascii="ˎ̥" w:hAnsi="ˎ̥" w:hint="eastAsia"/>
          <w:sz w:val="24"/>
        </w:rPr>
        <w:t>梁伟森、付杰、谢新开、黄晓飞、姜姗、俞秋莉、刘建、李泼、程丹、金彩科、陈绍彦、赵波、徐斌、</w:t>
      </w:r>
      <w:r w:rsidR="007F3CCF">
        <w:rPr>
          <w:rFonts w:ascii="ˎ̥" w:hAnsi="ˎ̥" w:hint="eastAsia"/>
          <w:sz w:val="24"/>
        </w:rPr>
        <w:t>张琦、张天萌、</w:t>
      </w:r>
      <w:r>
        <w:rPr>
          <w:rFonts w:ascii="ˎ̥" w:hAnsi="ˎ̥" w:hint="eastAsia"/>
          <w:sz w:val="24"/>
        </w:rPr>
        <w:t>邹奔</w:t>
      </w:r>
      <w:r>
        <w:rPr>
          <w:rFonts w:asciiTheme="minorEastAsia" w:eastAsiaTheme="minorEastAsia" w:hAnsiTheme="minorEastAsia" w:hint="eastAsia"/>
          <w:sz w:val="24"/>
          <w:szCs w:val="24"/>
        </w:rPr>
        <w:t>负责提供验证数据和完善文本。</w:t>
      </w:r>
    </w:p>
    <w:p w14:paraId="7C300D4E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二、标准编制原则和确定标准主要内容的依据</w:t>
      </w:r>
    </w:p>
    <w:p w14:paraId="5A7B58C1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、标准编制原则</w:t>
      </w:r>
      <w:r>
        <w:rPr>
          <w:rFonts w:ascii="黑体" w:eastAsia="黑体" w:hint="eastAsia"/>
          <w:sz w:val="24"/>
        </w:rPr>
        <w:t xml:space="preserve"> </w:t>
      </w:r>
    </w:p>
    <w:p w14:paraId="4908C1D9" w14:textId="77777777" w:rsidR="00B76695" w:rsidRDefault="00FC27A8">
      <w:pPr>
        <w:spacing w:line="360" w:lineRule="auto"/>
        <w:rPr>
          <w:rFonts w:ascii="ˎ̥" w:hAnsi="ˎ̥" w:hint="eastAsia"/>
          <w:sz w:val="24"/>
        </w:rPr>
      </w:pPr>
      <w:r>
        <w:rPr>
          <w:rFonts w:ascii="ˎ̥" w:hAnsi="ˎ̥"/>
          <w:sz w:val="24"/>
        </w:rPr>
        <w:t xml:space="preserve">    </w:t>
      </w:r>
      <w:r>
        <w:rPr>
          <w:rFonts w:ascii="ˎ̥" w:hAnsi="ˎ̥" w:hint="eastAsia"/>
          <w:sz w:val="24"/>
        </w:rPr>
        <w:t>本标准的制定符合产业发展的原则，本着先进性、科学性、合理性和可操作性的原则以及标准的目标、统一性、协调性、适用性、一致性和规范性原则来进行本标准的制定工作。</w:t>
      </w:r>
    </w:p>
    <w:p w14:paraId="70018496" w14:textId="77777777" w:rsidR="00B76695" w:rsidRDefault="00FC27A8">
      <w:pPr>
        <w:spacing w:line="360" w:lineRule="auto"/>
        <w:ind w:firstLineChars="200" w:firstLine="480"/>
        <w:rPr>
          <w:rFonts w:ascii="ˎ̥" w:hAnsi="ˎ̥" w:hint="eastAsia"/>
          <w:sz w:val="24"/>
        </w:rPr>
      </w:pPr>
      <w:r>
        <w:rPr>
          <w:rFonts w:ascii="ˎ̥" w:hAnsi="ˎ̥" w:hint="eastAsia"/>
          <w:sz w:val="24"/>
        </w:rPr>
        <w:t>本标准起草过程中，主要按</w:t>
      </w:r>
      <w:r>
        <w:rPr>
          <w:rFonts w:ascii="ˎ̥" w:hAnsi="ˎ̥" w:hint="eastAsia"/>
          <w:sz w:val="24"/>
        </w:rPr>
        <w:t>GB/T 1.1</w:t>
      </w:r>
      <w:r>
        <w:rPr>
          <w:rFonts w:hint="eastAsia"/>
        </w:rPr>
        <w:t>－</w:t>
      </w:r>
      <w:r>
        <w:rPr>
          <w:rFonts w:ascii="ˎ̥" w:hAnsi="ˎ̥" w:hint="eastAsia"/>
          <w:sz w:val="24"/>
        </w:rPr>
        <w:t>2020</w:t>
      </w:r>
      <w:r>
        <w:rPr>
          <w:rFonts w:ascii="ˎ̥" w:hAnsi="ˎ̥" w:hint="eastAsia"/>
          <w:sz w:val="24"/>
        </w:rPr>
        <w:t>《标准化工作导则</w:t>
      </w:r>
      <w:r>
        <w:rPr>
          <w:rFonts w:ascii="ˎ̥" w:hAnsi="ˎ̥" w:hint="eastAsia"/>
          <w:sz w:val="24"/>
        </w:rPr>
        <w:t xml:space="preserve"> </w:t>
      </w:r>
      <w:r>
        <w:rPr>
          <w:rFonts w:ascii="ˎ̥" w:hAnsi="ˎ̥" w:hint="eastAsia"/>
          <w:sz w:val="24"/>
        </w:rPr>
        <w:t xml:space="preserve"> </w:t>
      </w:r>
      <w:r>
        <w:rPr>
          <w:rFonts w:ascii="ˎ̥" w:hAnsi="ˎ̥" w:hint="eastAsia"/>
          <w:sz w:val="24"/>
        </w:rPr>
        <w:t>第</w:t>
      </w:r>
      <w:r>
        <w:rPr>
          <w:rFonts w:ascii="ˎ̥" w:hAnsi="ˎ̥" w:hint="eastAsia"/>
          <w:sz w:val="24"/>
        </w:rPr>
        <w:t>1</w:t>
      </w:r>
      <w:r>
        <w:rPr>
          <w:rFonts w:ascii="ˎ̥" w:hAnsi="ˎ̥" w:hint="eastAsia"/>
          <w:sz w:val="24"/>
        </w:rPr>
        <w:t>部分：标准化文件的结构和起草规则》进行编写。</w:t>
      </w:r>
    </w:p>
    <w:p w14:paraId="054857C5" w14:textId="77777777" w:rsidR="00B76695" w:rsidRDefault="00FC27A8">
      <w:pPr>
        <w:spacing w:line="360" w:lineRule="auto"/>
        <w:ind w:firstLineChars="200" w:firstLine="480"/>
        <w:rPr>
          <w:rFonts w:ascii="ˎ̥" w:hAnsi="ˎ̥" w:hint="eastAsia"/>
          <w:sz w:val="24"/>
        </w:rPr>
      </w:pPr>
      <w:r>
        <w:rPr>
          <w:rFonts w:ascii="ˎ̥" w:hAnsi="ˎ̥" w:hint="eastAsia"/>
          <w:sz w:val="24"/>
        </w:rPr>
        <w:t>本标准制定过程中，引用或参考了以下标准或文件：</w:t>
      </w:r>
    </w:p>
    <w:p w14:paraId="435BDBFC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GB 1886.174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食品添加剂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食品工业用酶制剂</w:t>
      </w:r>
    </w:p>
    <w:p w14:paraId="36132DF6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1903.45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食品营养强化剂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烟酰胺</w:t>
      </w:r>
    </w:p>
    <w:p w14:paraId="18D700EC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GB 4789.1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食品微生物学检验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总则</w:t>
      </w:r>
    </w:p>
    <w:p w14:paraId="0B4B2D50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4789.2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食品微生物学检验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菌落总数测定</w:t>
      </w:r>
      <w:r>
        <w:rPr>
          <w:rFonts w:ascii="宋体" w:hAnsi="宋体" w:cs="宋体" w:hint="eastAsia"/>
          <w:sz w:val="24"/>
        </w:rPr>
        <w:t xml:space="preserve"> </w:t>
      </w:r>
    </w:p>
    <w:p w14:paraId="5E1605CA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4789.3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食品微生物学</w:t>
      </w:r>
      <w:r>
        <w:rPr>
          <w:rFonts w:ascii="宋体" w:hAnsi="宋体" w:cs="宋体" w:hint="eastAsia"/>
          <w:sz w:val="24"/>
        </w:rPr>
        <w:t>检验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大肠菌群计数</w:t>
      </w:r>
      <w:r>
        <w:rPr>
          <w:rFonts w:ascii="宋体" w:hAnsi="宋体" w:cs="宋体" w:hint="eastAsia"/>
          <w:sz w:val="24"/>
        </w:rPr>
        <w:t xml:space="preserve"> </w:t>
      </w:r>
    </w:p>
    <w:p w14:paraId="0DE90B46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4789.4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食品微生物学检验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沙门氏菌检验</w:t>
      </w:r>
      <w:r>
        <w:rPr>
          <w:rFonts w:ascii="宋体" w:hAnsi="宋体" w:cs="宋体" w:hint="eastAsia"/>
          <w:sz w:val="24"/>
        </w:rPr>
        <w:t xml:space="preserve"> </w:t>
      </w:r>
    </w:p>
    <w:p w14:paraId="40623DB1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4789.6  </w:t>
      </w:r>
      <w:hyperlink r:id="rId9" w:history="1">
        <w:r>
          <w:rPr>
            <w:rFonts w:ascii="宋体" w:hAnsi="宋体" w:cs="宋体" w:hint="eastAsia"/>
            <w:sz w:val="24"/>
          </w:rPr>
          <w:t>食品安全国家标准</w:t>
        </w:r>
        <w:r>
          <w:rPr>
            <w:rFonts w:ascii="宋体" w:hAnsi="宋体" w:cs="宋体" w:hint="eastAsia"/>
            <w:sz w:val="24"/>
          </w:rPr>
          <w:t xml:space="preserve">  </w:t>
        </w:r>
        <w:r>
          <w:rPr>
            <w:rFonts w:ascii="宋体" w:hAnsi="宋体" w:cs="宋体" w:hint="eastAsia"/>
            <w:sz w:val="24"/>
          </w:rPr>
          <w:t>食品微生物学检验</w:t>
        </w:r>
        <w:r>
          <w:rPr>
            <w:rFonts w:ascii="宋体" w:hAnsi="宋体" w:cs="宋体" w:hint="eastAsia"/>
            <w:sz w:val="24"/>
          </w:rPr>
          <w:t xml:space="preserve">  </w:t>
        </w:r>
        <w:r>
          <w:rPr>
            <w:rFonts w:ascii="宋体" w:hAnsi="宋体" w:cs="宋体" w:hint="eastAsia"/>
            <w:sz w:val="24"/>
          </w:rPr>
          <w:t>致泻大肠埃希氏菌检验</w:t>
        </w:r>
      </w:hyperlink>
      <w:r>
        <w:rPr>
          <w:rFonts w:ascii="宋体" w:hAnsi="宋体" w:cs="宋体" w:hint="eastAsia"/>
          <w:sz w:val="24"/>
        </w:rPr>
        <w:t> </w:t>
      </w:r>
    </w:p>
    <w:p w14:paraId="13E59129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4789.10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食品微生物学检验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金黄色葡萄球菌检验</w:t>
      </w:r>
      <w:r>
        <w:rPr>
          <w:rFonts w:ascii="宋体" w:hAnsi="宋体" w:cs="宋体" w:hint="eastAsia"/>
          <w:sz w:val="24"/>
        </w:rPr>
        <w:t xml:space="preserve"> </w:t>
      </w:r>
    </w:p>
    <w:p w14:paraId="68FE8DE9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4789.15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食品微生物学检验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霉菌和酵母计数</w:t>
      </w:r>
      <w:r>
        <w:rPr>
          <w:rFonts w:ascii="宋体" w:hAnsi="宋体" w:cs="宋体" w:hint="eastAsia"/>
          <w:sz w:val="24"/>
        </w:rPr>
        <w:t xml:space="preserve"> </w:t>
      </w:r>
    </w:p>
    <w:p w14:paraId="08971072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</w:t>
      </w:r>
      <w:r>
        <w:rPr>
          <w:rFonts w:ascii="宋体" w:hAnsi="宋体" w:cs="宋体" w:hint="eastAsia"/>
          <w:sz w:val="24"/>
        </w:rPr>
        <w:t>5009.3</w:t>
      </w:r>
      <w:r>
        <w:rPr>
          <w:rFonts w:ascii="宋体" w:hAnsi="宋体" w:cs="宋体" w:hint="eastAsia"/>
          <w:sz w:val="24"/>
        </w:rPr>
        <w:t>-2016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食品中水分的测定</w:t>
      </w:r>
      <w:r>
        <w:rPr>
          <w:rFonts w:ascii="宋体" w:hAnsi="宋体" w:cs="宋体" w:hint="eastAsia"/>
          <w:sz w:val="24"/>
        </w:rPr>
        <w:t xml:space="preserve"> </w:t>
      </w:r>
    </w:p>
    <w:p w14:paraId="265E8F00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5009.11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食品中总砷及无机砷的测定</w:t>
      </w:r>
      <w:r>
        <w:rPr>
          <w:rFonts w:ascii="宋体" w:hAnsi="宋体" w:cs="宋体" w:hint="eastAsia"/>
          <w:sz w:val="24"/>
        </w:rPr>
        <w:t xml:space="preserve"> </w:t>
      </w:r>
    </w:p>
    <w:p w14:paraId="14A0C593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5009.12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食品中铅的测定</w:t>
      </w:r>
      <w:r>
        <w:rPr>
          <w:rFonts w:ascii="宋体" w:hAnsi="宋体" w:cs="宋体" w:hint="eastAsia"/>
          <w:sz w:val="24"/>
        </w:rPr>
        <w:t xml:space="preserve"> </w:t>
      </w:r>
    </w:p>
    <w:p w14:paraId="76C85252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5009.15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食品中镉的测定</w:t>
      </w:r>
      <w:r>
        <w:rPr>
          <w:rFonts w:ascii="宋体" w:hAnsi="宋体" w:cs="宋体" w:hint="eastAsia"/>
          <w:sz w:val="24"/>
        </w:rPr>
        <w:t xml:space="preserve"> </w:t>
      </w:r>
    </w:p>
    <w:p w14:paraId="7E0AFD49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5009.17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食品中总汞及有机汞的测定</w:t>
      </w:r>
      <w:r>
        <w:rPr>
          <w:rFonts w:ascii="宋体" w:hAnsi="宋体" w:cs="宋体" w:hint="eastAsia"/>
          <w:sz w:val="24"/>
        </w:rPr>
        <w:t xml:space="preserve"> </w:t>
      </w:r>
    </w:p>
    <w:p w14:paraId="06A3D023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GB 5009.</w:t>
      </w:r>
      <w:r>
        <w:rPr>
          <w:rFonts w:ascii="宋体" w:hAnsi="宋体" w:cs="宋体" w:hint="eastAsia"/>
          <w:sz w:val="24"/>
        </w:rPr>
        <w:t xml:space="preserve">22-2016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食品中黄曲霉毒素</w:t>
      </w: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族和</w:t>
      </w:r>
      <w:r>
        <w:rPr>
          <w:rFonts w:ascii="宋体" w:hAnsi="宋体" w:cs="宋体" w:hint="eastAsia"/>
          <w:sz w:val="24"/>
        </w:rPr>
        <w:t>G</w:t>
      </w:r>
      <w:r>
        <w:rPr>
          <w:rFonts w:ascii="宋体" w:hAnsi="宋体" w:cs="宋体" w:hint="eastAsia"/>
          <w:sz w:val="24"/>
        </w:rPr>
        <w:t>族的测定</w:t>
      </w:r>
    </w:p>
    <w:p w14:paraId="55747082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5009.237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</w:t>
      </w:r>
      <w:r>
        <w:rPr>
          <w:rFonts w:ascii="宋体" w:hAnsi="宋体" w:cs="宋体" w:hint="eastAsia"/>
          <w:sz w:val="24"/>
        </w:rPr>
        <w:t>pH</w:t>
      </w:r>
      <w:r>
        <w:rPr>
          <w:rFonts w:ascii="宋体" w:hAnsi="宋体" w:cs="宋体" w:hint="eastAsia"/>
          <w:sz w:val="24"/>
        </w:rPr>
        <w:t>值的测定</w:t>
      </w:r>
      <w:r>
        <w:rPr>
          <w:rFonts w:ascii="宋体" w:hAnsi="宋体" w:cs="宋体" w:hint="eastAsia"/>
          <w:sz w:val="24"/>
        </w:rPr>
        <w:t xml:space="preserve"> </w:t>
      </w:r>
    </w:p>
    <w:p w14:paraId="6F0D01FE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GB/T 6682  </w:t>
      </w:r>
      <w:r>
        <w:rPr>
          <w:rFonts w:ascii="宋体" w:hAnsi="宋体" w:cs="宋体" w:hint="eastAsia"/>
          <w:sz w:val="24"/>
        </w:rPr>
        <w:t>分</w:t>
      </w:r>
      <w:r>
        <w:rPr>
          <w:rFonts w:ascii="宋体" w:hAnsi="宋体" w:cs="宋体" w:hint="eastAsia"/>
          <w:sz w:val="24"/>
        </w:rPr>
        <w:t>析实验室用水规格和试验方法</w:t>
      </w:r>
    </w:p>
    <w:p w14:paraId="61125426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GB 25584  </w:t>
      </w:r>
      <w:hyperlink r:id="rId10" w:history="1">
        <w:r>
          <w:rPr>
            <w:rFonts w:ascii="宋体" w:hAnsi="宋体" w:cs="宋体" w:hint="eastAsia"/>
            <w:sz w:val="24"/>
          </w:rPr>
          <w:t>食品安全国家标准</w:t>
        </w:r>
        <w:r>
          <w:rPr>
            <w:rFonts w:ascii="宋体" w:hAnsi="宋体" w:cs="宋体" w:hint="eastAsia"/>
            <w:sz w:val="24"/>
          </w:rPr>
          <w:t xml:space="preserve">  </w:t>
        </w:r>
        <w:r>
          <w:rPr>
            <w:rFonts w:ascii="宋体" w:hAnsi="宋体" w:cs="宋体" w:hint="eastAsia"/>
            <w:sz w:val="24"/>
          </w:rPr>
          <w:t>食品添加剂氯化镁</w:t>
        </w:r>
      </w:hyperlink>
      <w:r>
        <w:rPr>
          <w:rFonts w:ascii="宋体" w:hAnsi="宋体" w:cs="宋体" w:hint="eastAsia"/>
          <w:sz w:val="24"/>
        </w:rPr>
        <w:t> </w:t>
      </w:r>
    </w:p>
    <w:p w14:paraId="17331EC8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《中华人民共和国药典》（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年版）四部</w:t>
      </w:r>
    </w:p>
    <w:p w14:paraId="1F30A47E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</w:t>
      </w:r>
      <w:r>
        <w:rPr>
          <w:rFonts w:ascii="黑体" w:eastAsia="黑体" w:hint="eastAsia"/>
          <w:sz w:val="24"/>
        </w:rPr>
        <w:t>、确定标准主要内容的依据</w:t>
      </w:r>
    </w:p>
    <w:p w14:paraId="28233457" w14:textId="77777777" w:rsidR="00B76695" w:rsidRDefault="00FC27A8">
      <w:pPr>
        <w:spacing w:beforeLines="50" w:before="156" w:afterLines="50" w:after="156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）</w:t>
      </w:r>
      <w:r>
        <w:rPr>
          <w:rFonts w:ascii="黑体" w:eastAsia="黑体" w:hint="eastAsia"/>
          <w:sz w:val="24"/>
        </w:rPr>
        <w:t>原料</w:t>
      </w:r>
      <w:r>
        <w:rPr>
          <w:rFonts w:ascii="黑体" w:eastAsia="黑体" w:hint="eastAsia"/>
          <w:sz w:val="24"/>
        </w:rPr>
        <w:t>要求</w:t>
      </w:r>
    </w:p>
    <w:p w14:paraId="699BBAC8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主要原料应符合相关标准规定，</w:t>
      </w:r>
      <w:r>
        <w:rPr>
          <w:rFonts w:ascii="宋体" w:hAnsi="宋体" w:cs="宋体" w:hint="eastAsia"/>
          <w:sz w:val="24"/>
        </w:rPr>
        <w:t>如</w:t>
      </w:r>
      <w:r>
        <w:rPr>
          <w:rFonts w:ascii="宋体" w:hAnsi="宋体" w:cs="宋体" w:hint="eastAsia"/>
          <w:sz w:val="24"/>
        </w:rPr>
        <w:t>烟酰胺应符合</w:t>
      </w:r>
      <w:r>
        <w:rPr>
          <w:rFonts w:ascii="宋体" w:hAnsi="宋体" w:cs="宋体" w:hint="eastAsia"/>
          <w:sz w:val="24"/>
        </w:rPr>
        <w:t>GB 1903.45</w:t>
      </w:r>
      <w:r>
        <w:rPr>
          <w:rFonts w:ascii="宋体" w:hAnsi="宋体" w:cs="宋体" w:hint="eastAsia"/>
          <w:sz w:val="24"/>
        </w:rPr>
        <w:t>《食品安全国家标准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食品营养强化剂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烟酰胺》；氯化镁应符合《</w:t>
      </w:r>
      <w:r>
        <w:rPr>
          <w:rFonts w:ascii="宋体" w:hAnsi="宋体" w:cs="宋体" w:hint="eastAsia"/>
          <w:sz w:val="24"/>
        </w:rPr>
        <w:t xml:space="preserve">GB 25584  </w:t>
      </w:r>
      <w:hyperlink r:id="rId11" w:history="1">
        <w:r>
          <w:rPr>
            <w:rFonts w:ascii="宋体" w:hAnsi="宋体" w:cs="宋体" w:hint="eastAsia"/>
            <w:sz w:val="24"/>
          </w:rPr>
          <w:t>食品安全国家标准</w:t>
        </w:r>
        <w:r>
          <w:rPr>
            <w:rFonts w:ascii="宋体" w:hAnsi="宋体" w:cs="宋体" w:hint="eastAsia"/>
            <w:sz w:val="24"/>
          </w:rPr>
          <w:t xml:space="preserve"> </w:t>
        </w:r>
        <w:r>
          <w:rPr>
            <w:rFonts w:ascii="宋体" w:hAnsi="宋体" w:cs="宋体" w:hint="eastAsia"/>
            <w:sz w:val="24"/>
          </w:rPr>
          <w:t>食品添加剂氯化镁</w:t>
        </w:r>
      </w:hyperlink>
      <w:r>
        <w:rPr>
          <w:rFonts w:ascii="宋体" w:hAnsi="宋体" w:cs="宋体" w:hint="eastAsia"/>
          <w:sz w:val="24"/>
        </w:rPr>
        <w:t>》；酶制剂应</w:t>
      </w:r>
      <w:r>
        <w:rPr>
          <w:rFonts w:ascii="宋体" w:hAnsi="宋体" w:cs="宋体" w:hint="eastAsia"/>
          <w:sz w:val="24"/>
        </w:rPr>
        <w:t>GB 1886.174</w:t>
      </w:r>
      <w:r>
        <w:rPr>
          <w:rFonts w:ascii="宋体" w:hAnsi="宋体" w:cs="宋体" w:hint="eastAsia"/>
          <w:sz w:val="24"/>
        </w:rPr>
        <w:t>《</w:t>
      </w:r>
      <w:r>
        <w:rPr>
          <w:rFonts w:ascii="宋体" w:hAnsi="宋体" w:cs="宋体" w:hint="eastAsia"/>
          <w:sz w:val="24"/>
        </w:rPr>
        <w:t xml:space="preserve">GB 1886.174  </w:t>
      </w:r>
      <w:r>
        <w:rPr>
          <w:rFonts w:ascii="宋体" w:hAnsi="宋体" w:cs="宋体" w:hint="eastAsia"/>
          <w:sz w:val="24"/>
        </w:rPr>
        <w:t>食品安全国家标准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食品添加剂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食品工业用酶制剂》。其他原辅料应符合相应国家、行业标准要求。</w:t>
      </w:r>
    </w:p>
    <w:p w14:paraId="165967F2" w14:textId="77777777" w:rsidR="00B76695" w:rsidRDefault="00FC27A8">
      <w:pPr>
        <w:spacing w:beforeLines="50" w:before="156" w:afterLines="50" w:after="156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2</w:t>
      </w:r>
      <w:r>
        <w:rPr>
          <w:rFonts w:ascii="黑体" w:eastAsia="黑体" w:hint="eastAsia"/>
          <w:sz w:val="24"/>
        </w:rPr>
        <w:t>）感官要求</w:t>
      </w:r>
    </w:p>
    <w:p w14:paraId="7EF567DB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</w:t>
      </w:r>
      <w:r>
        <w:rPr>
          <w:rFonts w:hint="eastAsia"/>
          <w:sz w:val="24"/>
        </w:rPr>
        <w:t>企业标准</w:t>
      </w:r>
      <w:r>
        <w:rPr>
          <w:rFonts w:hint="eastAsia"/>
          <w:sz w:val="24"/>
        </w:rPr>
        <w:t>，确定</w:t>
      </w:r>
      <w:r>
        <w:rPr>
          <w:rFonts w:hint="eastAsia"/>
          <w:sz w:val="24"/>
        </w:rPr>
        <w:t>指标</w:t>
      </w:r>
      <w:r>
        <w:rPr>
          <w:rFonts w:hint="eastAsia"/>
          <w:sz w:val="24"/>
        </w:rPr>
        <w:t>：</w:t>
      </w:r>
    </w:p>
    <w:p w14:paraId="279E3E90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a)</w:t>
      </w:r>
      <w:r>
        <w:rPr>
          <w:sz w:val="24"/>
        </w:rPr>
        <w:t>色泽</w:t>
      </w:r>
      <w:r>
        <w:rPr>
          <w:rFonts w:hint="eastAsia"/>
          <w:sz w:val="24"/>
        </w:rPr>
        <w:t>：</w:t>
      </w:r>
      <w:r>
        <w:rPr>
          <w:sz w:val="24"/>
        </w:rPr>
        <w:t>白色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b)</w:t>
      </w:r>
      <w:r>
        <w:rPr>
          <w:rFonts w:hint="eastAsia"/>
          <w:sz w:val="24"/>
        </w:rPr>
        <w:t>组织形态：</w:t>
      </w:r>
      <w:r>
        <w:rPr>
          <w:rFonts w:hint="eastAsia"/>
          <w:sz w:val="24"/>
        </w:rPr>
        <w:t>粉末；</w:t>
      </w:r>
      <w:r>
        <w:rPr>
          <w:rFonts w:hint="eastAsia"/>
          <w:sz w:val="24"/>
        </w:rPr>
        <w:t>c)</w:t>
      </w:r>
      <w:r>
        <w:rPr>
          <w:rFonts w:hint="eastAsia"/>
          <w:sz w:val="24"/>
        </w:rPr>
        <w:t>气味：无味；</w:t>
      </w:r>
      <w:r>
        <w:rPr>
          <w:rFonts w:hint="eastAsia"/>
          <w:sz w:val="24"/>
        </w:rPr>
        <w:t>d)</w:t>
      </w:r>
      <w:r>
        <w:rPr>
          <w:rFonts w:hint="eastAsia"/>
          <w:sz w:val="24"/>
        </w:rPr>
        <w:t>杂质：无正常视力可见外来杂质。</w:t>
      </w:r>
    </w:p>
    <w:p w14:paraId="7CD2D37B" w14:textId="77777777" w:rsidR="00B76695" w:rsidRDefault="00FC27A8">
      <w:pPr>
        <w:spacing w:beforeLines="50" w:before="156" w:afterLines="50" w:after="156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3</w:t>
      </w:r>
      <w:r>
        <w:rPr>
          <w:rFonts w:ascii="黑体" w:eastAsia="黑体" w:hint="eastAsia"/>
          <w:sz w:val="24"/>
        </w:rPr>
        <w:t>）理化指标</w:t>
      </w:r>
    </w:p>
    <w:p w14:paraId="3F08063A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纯度：β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烟酰胺单核苷酸的重要的理化指标。企业</w:t>
      </w:r>
      <w:r>
        <w:rPr>
          <w:rFonts w:ascii="宋体" w:hAnsi="宋体" w:cs="宋体" w:hint="eastAsia"/>
          <w:sz w:val="24"/>
        </w:rPr>
        <w:t>内</w:t>
      </w:r>
      <w:r>
        <w:rPr>
          <w:rFonts w:ascii="宋体" w:hAnsi="宋体" w:cs="宋体" w:hint="eastAsia"/>
          <w:sz w:val="24"/>
        </w:rPr>
        <w:t>测</w:t>
      </w:r>
      <w:r>
        <w:rPr>
          <w:rFonts w:ascii="宋体" w:hAnsi="宋体" w:cs="宋体" w:hint="eastAsia"/>
          <w:sz w:val="24"/>
        </w:rPr>
        <w:t>数据如表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所示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最高值</w:t>
      </w:r>
      <w:r>
        <w:rPr>
          <w:rFonts w:ascii="宋体" w:hAnsi="宋体" w:cs="宋体" w:hint="eastAsia"/>
          <w:sz w:val="24"/>
        </w:rPr>
        <w:t>99.90%</w:t>
      </w:r>
      <w:r>
        <w:rPr>
          <w:rFonts w:ascii="宋体" w:hAnsi="宋体" w:cs="宋体" w:hint="eastAsia"/>
          <w:sz w:val="24"/>
        </w:rPr>
        <w:t>，最低值</w:t>
      </w:r>
      <w:r>
        <w:rPr>
          <w:rFonts w:ascii="宋体" w:hAnsi="宋体" w:cs="宋体" w:hint="eastAsia"/>
          <w:sz w:val="24"/>
        </w:rPr>
        <w:t>99.50%</w:t>
      </w:r>
      <w:r>
        <w:rPr>
          <w:rFonts w:ascii="宋体" w:hAnsi="宋体" w:cs="宋体" w:hint="eastAsia"/>
          <w:sz w:val="24"/>
        </w:rPr>
        <w:t>，参考企业标准，确定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99.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>。</w:t>
      </w:r>
    </w:p>
    <w:p w14:paraId="31E3B251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水分：企业</w:t>
      </w:r>
      <w:r>
        <w:rPr>
          <w:rFonts w:ascii="宋体" w:hAnsi="宋体" w:cs="宋体" w:hint="eastAsia"/>
          <w:sz w:val="24"/>
        </w:rPr>
        <w:t>内</w:t>
      </w:r>
      <w:r>
        <w:rPr>
          <w:rFonts w:ascii="宋体" w:hAnsi="宋体" w:cs="宋体" w:hint="eastAsia"/>
          <w:sz w:val="24"/>
        </w:rPr>
        <w:t>测</w:t>
      </w:r>
      <w:r>
        <w:rPr>
          <w:rFonts w:ascii="宋体" w:hAnsi="宋体" w:cs="宋体" w:hint="eastAsia"/>
          <w:sz w:val="24"/>
        </w:rPr>
        <w:t>27</w:t>
      </w:r>
      <w:r>
        <w:rPr>
          <w:rFonts w:ascii="宋体" w:hAnsi="宋体" w:cs="宋体" w:hint="eastAsia"/>
          <w:sz w:val="24"/>
        </w:rPr>
        <w:t>组，数据如表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所示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最高值</w:t>
      </w:r>
      <w:r>
        <w:rPr>
          <w:rFonts w:ascii="宋体" w:hAnsi="宋体" w:cs="宋体" w:hint="eastAsia"/>
          <w:sz w:val="24"/>
        </w:rPr>
        <w:t>0.35%</w:t>
      </w:r>
      <w:r>
        <w:rPr>
          <w:rFonts w:ascii="宋体" w:hAnsi="宋体" w:cs="宋体" w:hint="eastAsia"/>
          <w:sz w:val="24"/>
        </w:rPr>
        <w:t>，最低值</w:t>
      </w:r>
      <w:r>
        <w:rPr>
          <w:rFonts w:ascii="宋体" w:hAnsi="宋体" w:cs="宋体" w:hint="eastAsia"/>
          <w:sz w:val="24"/>
        </w:rPr>
        <w:t>0.02%</w:t>
      </w:r>
      <w:r>
        <w:rPr>
          <w:rFonts w:ascii="宋体" w:hAnsi="宋体" w:cs="宋体" w:hint="eastAsia"/>
          <w:sz w:val="24"/>
        </w:rPr>
        <w:t>，参考企业标准，确定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≤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。</w:t>
      </w:r>
    </w:p>
    <w:p w14:paraId="073C9FB3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pH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企业</w:t>
      </w:r>
      <w:r>
        <w:rPr>
          <w:rFonts w:ascii="宋体" w:hAnsi="宋体" w:cs="宋体" w:hint="eastAsia"/>
          <w:sz w:val="24"/>
        </w:rPr>
        <w:t>内</w:t>
      </w:r>
      <w:r>
        <w:rPr>
          <w:rFonts w:ascii="宋体" w:hAnsi="宋体" w:cs="宋体" w:hint="eastAsia"/>
          <w:sz w:val="24"/>
        </w:rPr>
        <w:t>测</w:t>
      </w:r>
      <w:r>
        <w:rPr>
          <w:rFonts w:ascii="宋体" w:hAnsi="宋体" w:cs="宋体" w:hint="eastAsia"/>
          <w:sz w:val="24"/>
        </w:rPr>
        <w:t>27</w:t>
      </w:r>
      <w:r>
        <w:rPr>
          <w:rFonts w:ascii="宋体" w:hAnsi="宋体" w:cs="宋体" w:hint="eastAsia"/>
          <w:sz w:val="24"/>
        </w:rPr>
        <w:t>组，数据</w:t>
      </w:r>
      <w:r>
        <w:rPr>
          <w:rFonts w:ascii="宋体" w:hAnsi="宋体" w:cs="宋体" w:hint="eastAsia"/>
          <w:sz w:val="24"/>
        </w:rPr>
        <w:t>如表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所示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最高值</w:t>
      </w:r>
      <w:r>
        <w:rPr>
          <w:rFonts w:ascii="宋体" w:hAnsi="宋体" w:cs="宋体" w:hint="eastAsia"/>
          <w:sz w:val="24"/>
        </w:rPr>
        <w:t>3.79</w:t>
      </w:r>
      <w:r>
        <w:rPr>
          <w:rFonts w:ascii="宋体" w:hAnsi="宋体" w:cs="宋体" w:hint="eastAsia"/>
          <w:sz w:val="24"/>
        </w:rPr>
        <w:t>，最低值</w:t>
      </w:r>
      <w:r>
        <w:rPr>
          <w:rFonts w:ascii="宋体" w:hAnsi="宋体" w:cs="宋体" w:hint="eastAsia"/>
          <w:sz w:val="24"/>
        </w:rPr>
        <w:t>3.00</w:t>
      </w:r>
      <w:r>
        <w:rPr>
          <w:rFonts w:ascii="宋体" w:hAnsi="宋体" w:cs="宋体" w:hint="eastAsia"/>
          <w:sz w:val="24"/>
        </w:rPr>
        <w:t>，参考</w:t>
      </w:r>
      <w:r>
        <w:rPr>
          <w:rFonts w:ascii="宋体" w:hAnsi="宋体" w:cs="宋体" w:hint="eastAsia"/>
          <w:sz w:val="24"/>
        </w:rPr>
        <w:t>企业标准，确定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3.0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4.0</w:t>
      </w:r>
      <w:r>
        <w:rPr>
          <w:rFonts w:ascii="宋体" w:hAnsi="宋体" w:cs="宋体" w:hint="eastAsia"/>
          <w:sz w:val="24"/>
        </w:rPr>
        <w:t>。</w:t>
      </w:r>
    </w:p>
    <w:p w14:paraId="3BC75A70" w14:textId="77777777" w:rsidR="00B76695" w:rsidRDefault="00FC27A8">
      <w:pPr>
        <w:snapToGrid w:val="0"/>
        <w:spacing w:beforeLines="40" w:before="124" w:afterLines="40" w:after="124"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</w:t>
      </w:r>
    </w:p>
    <w:tbl>
      <w:tblPr>
        <w:tblW w:w="83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B76695" w14:paraId="2FCACE4A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69E54E4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批号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CF9FB7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纯度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3D3040F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水分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F38596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</w:t>
            </w:r>
          </w:p>
        </w:tc>
      </w:tr>
      <w:tr w:rsidR="00B76695" w14:paraId="03155702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1258A8C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BT05H121L093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E4EAC9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99.64%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B40B4D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0.21%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C67542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3.15</w:t>
            </w:r>
          </w:p>
        </w:tc>
      </w:tr>
      <w:tr w:rsidR="00B76695" w14:paraId="513E7382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64B7A99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BT05L121L094-F3051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4F1D2B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C2E4EB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78E82D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3.41</w:t>
            </w:r>
          </w:p>
        </w:tc>
      </w:tr>
      <w:tr w:rsidR="00B76695" w14:paraId="3733FAA5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63E2104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BT05L121M100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2983E2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99.66%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595326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0.22%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7BAE01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3.41</w:t>
            </w:r>
          </w:p>
        </w:tc>
      </w:tr>
      <w:tr w:rsidR="00B76695" w14:paraId="40DEBA56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6023646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BT05L121M101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8D0BDA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99.65%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0B08ACE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0.24%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6DCD4D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3.61</w:t>
            </w:r>
          </w:p>
        </w:tc>
      </w:tr>
      <w:tr w:rsidR="00B76695" w14:paraId="5BFF2684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3B9F5AD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BT05M121L089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B6CF5F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E26163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0.090%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62E5EF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3.79</w:t>
            </w:r>
          </w:p>
        </w:tc>
      </w:tr>
      <w:tr w:rsidR="00B76695" w14:paraId="387950E1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6675738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BT05M121L090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2DE49F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99.69%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4C7E0C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0.07%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307ACB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3.60</w:t>
            </w:r>
          </w:p>
        </w:tc>
      </w:tr>
      <w:tr w:rsidR="00B76695" w14:paraId="49C3224F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2120994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BT05M121L091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AA46AC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99.55%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0A1C43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8F13D2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3.39</w:t>
            </w:r>
          </w:p>
        </w:tc>
      </w:tr>
      <w:tr w:rsidR="00B76695" w14:paraId="3937D15A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5E080C2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BT05M121M095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5C85EF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99.78%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2EFCED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0.070%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4DE24D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3.15</w:t>
            </w:r>
          </w:p>
        </w:tc>
      </w:tr>
      <w:tr w:rsidR="00B76695" w14:paraId="03B69C8C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2D67389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BT05M121M097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BF3035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99.64%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4D3546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0.19%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A59D7C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3.31</w:t>
            </w:r>
          </w:p>
        </w:tc>
      </w:tr>
      <w:tr w:rsidR="00B76695" w14:paraId="4000C951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0FA0586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BT05M121M098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56BAA4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99.75%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E70373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0.06%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2040A0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3.35</w:t>
            </w:r>
          </w:p>
        </w:tc>
      </w:tr>
      <w:tr w:rsidR="00B76695" w14:paraId="17360625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7937F30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BT05M121M099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27436A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99.53%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F60908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695ADB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3.43</w:t>
            </w:r>
          </w:p>
        </w:tc>
      </w:tr>
      <w:tr w:rsidR="00B76695" w14:paraId="2EFB5B5B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0E9689E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BT05M121M102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035B2F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720A41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0.13%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A4332A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3.46</w:t>
            </w:r>
          </w:p>
        </w:tc>
      </w:tr>
      <w:tr w:rsidR="00B76695" w14:paraId="04DC2769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7BEC835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BT05M121M110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3B7816F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99.53%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09160AE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0.16%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DADEFF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3.47</w:t>
            </w:r>
          </w:p>
        </w:tc>
      </w:tr>
      <w:tr w:rsidR="00B76695" w14:paraId="513025C8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0CE0959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BT05M121M112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ED8001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99.59%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F88A00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0.16%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7707B2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3.42</w:t>
            </w:r>
          </w:p>
        </w:tc>
      </w:tr>
      <w:tr w:rsidR="00B76695" w14:paraId="7426B875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3F265B7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BT05M121N113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3D90076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99.69%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979AB9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0.08%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BB905F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3.38</w:t>
            </w:r>
          </w:p>
        </w:tc>
      </w:tr>
      <w:tr w:rsidR="00B76695" w14:paraId="61EDEA39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0C7F57A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BT05N121H064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0C52013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99.52%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105CEF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0.16%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6E1726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3.12</w:t>
            </w:r>
          </w:p>
        </w:tc>
      </w:tr>
      <w:tr w:rsidR="00B76695" w14:paraId="00A5FEEA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7F3F77A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BT05N121J066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0DD3D0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99.84%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027BBC0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0.11%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FE8CA4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3.25</w:t>
            </w:r>
          </w:p>
        </w:tc>
      </w:tr>
      <w:tr w:rsidR="00B76695" w14:paraId="4119F6B8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7B3102B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BT05N121J068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241162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99.76%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35FC5B2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0.11%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D41670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3.00</w:t>
            </w:r>
          </w:p>
        </w:tc>
      </w:tr>
      <w:tr w:rsidR="00B76695" w14:paraId="75C107EF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1C1ACAC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BT05N121J069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AE14D1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99.68%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0584D2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0.18%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695393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3.35</w:t>
            </w:r>
          </w:p>
        </w:tc>
      </w:tr>
      <w:tr w:rsidR="00B76695" w14:paraId="267E108C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095A5FE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BT05N121J072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B1EC39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6415B8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462345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3.41</w:t>
            </w:r>
          </w:p>
        </w:tc>
      </w:tr>
      <w:tr w:rsidR="00B76695" w14:paraId="459A5B12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4D4D8DC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BT05N121K076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3344A04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99.62%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AC571D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0.02%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33AE6D0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3.13</w:t>
            </w:r>
          </w:p>
        </w:tc>
      </w:tr>
      <w:tr w:rsidR="00B76695" w14:paraId="2FD5247E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4DA4A91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BT05N121K080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0F7B23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99.72%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97DDB0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0.18%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C48619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3.15</w:t>
            </w:r>
          </w:p>
        </w:tc>
      </w:tr>
      <w:tr w:rsidR="00B76695" w14:paraId="13D3F030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1EE5BDA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BT05N121K081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EA8AAB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99.58%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7AB326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0.23%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DB8C11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3.14</w:t>
            </w:r>
          </w:p>
        </w:tc>
      </w:tr>
      <w:tr w:rsidR="00B76695" w14:paraId="2B1E05DC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44B225B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BT05N121L092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015D09B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99.69%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94A621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5A2A19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3.36</w:t>
            </w:r>
          </w:p>
        </w:tc>
      </w:tr>
      <w:tr w:rsidR="00B76695" w14:paraId="4A7C791B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39D380E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BT05N221J067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02049EF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99.59%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0653586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0.35%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467325C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3.42</w:t>
            </w:r>
          </w:p>
        </w:tc>
      </w:tr>
      <w:tr w:rsidR="00B76695" w14:paraId="45BDB24E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243ED21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BT05N221K074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90F32B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99.77%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7199FA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0.30%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D0F79B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3.10</w:t>
            </w:r>
          </w:p>
        </w:tc>
      </w:tr>
      <w:tr w:rsidR="00B76695" w14:paraId="232F1F59" w14:textId="77777777">
        <w:trPr>
          <w:trHeight w:val="402"/>
        </w:trPr>
        <w:tc>
          <w:tcPr>
            <w:tcW w:w="2084" w:type="dxa"/>
            <w:shd w:val="clear" w:color="auto" w:fill="auto"/>
            <w:noWrap/>
            <w:vAlign w:val="center"/>
          </w:tcPr>
          <w:p w14:paraId="196E3D1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BT05N221K078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352A84A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99.63%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3B2EF63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0.23%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3A7B09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3.21</w:t>
            </w:r>
          </w:p>
        </w:tc>
      </w:tr>
    </w:tbl>
    <w:p w14:paraId="61D26888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含量：</w:t>
      </w:r>
      <w:r>
        <w:rPr>
          <w:rFonts w:ascii="宋体" w:hAnsi="宋体" w:cs="宋体" w:hint="eastAsia"/>
          <w:sz w:val="24"/>
        </w:rPr>
        <w:t>β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烟酰胺单核苷酸的重要的理化指标。企业</w:t>
      </w:r>
      <w:r>
        <w:rPr>
          <w:rFonts w:ascii="宋体" w:hAnsi="宋体" w:cs="宋体" w:hint="eastAsia"/>
          <w:sz w:val="24"/>
        </w:rPr>
        <w:t>内</w:t>
      </w:r>
      <w:r>
        <w:rPr>
          <w:rFonts w:ascii="宋体" w:hAnsi="宋体" w:cs="宋体" w:hint="eastAsia"/>
          <w:sz w:val="24"/>
        </w:rPr>
        <w:t>测</w:t>
      </w:r>
      <w:r>
        <w:rPr>
          <w:rFonts w:ascii="宋体" w:hAnsi="宋体" w:cs="宋体" w:hint="eastAsia"/>
          <w:sz w:val="24"/>
        </w:rPr>
        <w:t>27</w:t>
      </w:r>
      <w:r>
        <w:rPr>
          <w:rFonts w:ascii="宋体" w:hAnsi="宋体" w:cs="宋体" w:hint="eastAsia"/>
          <w:sz w:val="24"/>
        </w:rPr>
        <w:t>组，数据如表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所示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最高值</w:t>
      </w:r>
      <w:r>
        <w:rPr>
          <w:rFonts w:ascii="宋体" w:hAnsi="宋体" w:cs="宋体" w:hint="eastAsia"/>
          <w:sz w:val="24"/>
        </w:rPr>
        <w:t>100.81%</w:t>
      </w:r>
      <w:r>
        <w:rPr>
          <w:rFonts w:ascii="宋体" w:hAnsi="宋体" w:cs="宋体" w:hint="eastAsia"/>
          <w:sz w:val="24"/>
        </w:rPr>
        <w:t>，最低值</w:t>
      </w:r>
      <w:r>
        <w:rPr>
          <w:rFonts w:ascii="宋体" w:hAnsi="宋体" w:cs="宋体" w:hint="eastAsia"/>
          <w:sz w:val="24"/>
        </w:rPr>
        <w:t>99.12%</w:t>
      </w:r>
      <w:r>
        <w:rPr>
          <w:rFonts w:ascii="宋体" w:hAnsi="宋体" w:cs="宋体" w:hint="eastAsia"/>
          <w:sz w:val="24"/>
        </w:rPr>
        <w:t>，平均值</w:t>
      </w:r>
      <w:r>
        <w:rPr>
          <w:rFonts w:ascii="宋体" w:hAnsi="宋体" w:cs="宋体" w:hint="eastAsia"/>
          <w:sz w:val="24"/>
        </w:rPr>
        <w:t>99.94%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参考企业标准，</w:t>
      </w:r>
      <w:r>
        <w:rPr>
          <w:rFonts w:ascii="宋体" w:hAnsi="宋体" w:cs="宋体" w:hint="eastAsia"/>
          <w:sz w:val="24"/>
        </w:rPr>
        <w:t>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98.0%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102.0%</w:t>
      </w:r>
      <w:r>
        <w:rPr>
          <w:rFonts w:ascii="宋体" w:hAnsi="宋体" w:cs="宋体" w:hint="eastAsia"/>
          <w:sz w:val="24"/>
        </w:rPr>
        <w:t>。</w:t>
      </w:r>
    </w:p>
    <w:p w14:paraId="60010305" w14:textId="77777777" w:rsidR="00B76695" w:rsidRDefault="00FC27A8">
      <w:pPr>
        <w:snapToGrid w:val="0"/>
        <w:spacing w:beforeLines="40" w:before="124" w:afterLines="40" w:after="124"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4"/>
        <w:gridCol w:w="3373"/>
        <w:gridCol w:w="4042"/>
      </w:tblGrid>
      <w:tr w:rsidR="00B76695" w14:paraId="44F3C806" w14:textId="77777777">
        <w:trPr>
          <w:trHeight w:val="604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B9F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5EA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批号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933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</w:tr>
      <w:tr w:rsidR="00B76695" w14:paraId="223B45A7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719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48E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BT05N121K085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DBC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99.23%</w:t>
            </w:r>
          </w:p>
        </w:tc>
      </w:tr>
      <w:tr w:rsidR="00B76695" w14:paraId="3DB9B6F9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ED03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061A9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F5482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462593AF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4DB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53F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BT05N121K086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34A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99.12%</w:t>
            </w:r>
          </w:p>
        </w:tc>
      </w:tr>
      <w:tr w:rsidR="00B76695" w14:paraId="47DF321A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F7B50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84A1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E2CA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43880941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FDA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440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BT05N121K087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1E7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99.57%</w:t>
            </w:r>
          </w:p>
        </w:tc>
      </w:tr>
      <w:tr w:rsidR="00B76695" w14:paraId="41AE69FF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7D688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0A07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9A98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1E1860BD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3EF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E6A9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BT05N121L088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B23C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99.58%</w:t>
            </w:r>
          </w:p>
        </w:tc>
      </w:tr>
      <w:tr w:rsidR="00B76695" w14:paraId="5344FFA6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E52A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B4011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B4C6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783B1346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567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251A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BT05M121L090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22FA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100.81%</w:t>
            </w:r>
          </w:p>
        </w:tc>
      </w:tr>
      <w:tr w:rsidR="00B76695" w14:paraId="4DA5D861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5D25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F989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ACDF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5212F0BE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D45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0AB9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BT05M121L091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196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99.44%</w:t>
            </w:r>
          </w:p>
        </w:tc>
      </w:tr>
      <w:tr w:rsidR="00B76695" w14:paraId="4365275F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A7EF7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B0AF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7F315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719FFC88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450F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1D07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BT05N121L092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757C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99.69%</w:t>
            </w:r>
          </w:p>
        </w:tc>
      </w:tr>
      <w:tr w:rsidR="00B76695" w14:paraId="3B9739AF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7DBED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E9F1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8A08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01AB2582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D42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4A7E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BT05H121L093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91AE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99.24%</w:t>
            </w:r>
          </w:p>
        </w:tc>
      </w:tr>
      <w:tr w:rsidR="00B76695" w14:paraId="44B12988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AA83F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53F53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B13BE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34F93EEF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3182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708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BT05L121L094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B52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100.19%</w:t>
            </w:r>
          </w:p>
        </w:tc>
      </w:tr>
      <w:tr w:rsidR="00B76695" w14:paraId="4FD84FE1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01F47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CD970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E4DB8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4D73EB31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41E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381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BT05M121M095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C50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100.24%</w:t>
            </w:r>
          </w:p>
        </w:tc>
      </w:tr>
      <w:tr w:rsidR="00B76695" w14:paraId="1431E80F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8E3D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7B964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FF54A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49EF8F35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0489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C903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BT05L121M100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120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100.68%</w:t>
            </w:r>
          </w:p>
        </w:tc>
      </w:tr>
      <w:tr w:rsidR="00B76695" w14:paraId="78D63D6C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C24B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B6927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AF99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12566AF6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F44F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340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BT05L121M101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011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100.76%</w:t>
            </w:r>
          </w:p>
        </w:tc>
      </w:tr>
      <w:tr w:rsidR="00B76695" w14:paraId="73561EBD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2667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F863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0C5EE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76695" w14:paraId="3777AE0E" w14:textId="77777777">
        <w:trPr>
          <w:trHeight w:val="312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2C5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03D8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NMN-210914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647A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100.64%</w:t>
            </w:r>
          </w:p>
        </w:tc>
      </w:tr>
      <w:tr w:rsidR="00B76695" w14:paraId="51A53C60" w14:textId="77777777">
        <w:trPr>
          <w:trHeight w:val="31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2781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403A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9CC08" w14:textId="77777777" w:rsidR="00B76695" w:rsidRDefault="00B766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4B0A172D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溶剂残留</w:t>
      </w:r>
      <w:r>
        <w:rPr>
          <w:rFonts w:ascii="宋体" w:hAnsi="宋体" w:cs="宋体" w:hint="eastAsia"/>
          <w:sz w:val="24"/>
        </w:rPr>
        <w:t>（甲醇）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从食品安全的角度考虑，考虑到中国食品有要求甲醇里包括白酒都没有高过</w:t>
      </w:r>
      <w:r>
        <w:rPr>
          <w:rFonts w:ascii="宋体" w:hAnsi="宋体" w:cs="宋体" w:hint="eastAsia"/>
          <w:sz w:val="24"/>
        </w:rPr>
        <w:t>10ppm</w:t>
      </w:r>
      <w:r>
        <w:rPr>
          <w:rFonts w:ascii="宋体" w:hAnsi="宋体" w:cs="宋体" w:hint="eastAsia"/>
          <w:sz w:val="24"/>
        </w:rPr>
        <w:t>的，因此确定甲醇指标为＜</w:t>
      </w:r>
      <w:r>
        <w:rPr>
          <w:rFonts w:ascii="宋体" w:hAnsi="宋体" w:cs="宋体" w:hint="eastAsia"/>
          <w:sz w:val="24"/>
        </w:rPr>
        <w:t>0.01g/kg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 xml:space="preserve"> </w:t>
      </w:r>
    </w:p>
    <w:p w14:paraId="5D27ED31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钠（</w:t>
      </w:r>
      <w:r>
        <w:rPr>
          <w:rFonts w:ascii="宋体" w:hAnsi="宋体" w:cs="宋体" w:hint="eastAsia"/>
          <w:sz w:val="24"/>
        </w:rPr>
        <w:t>Na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钾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K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企业自测</w:t>
      </w:r>
      <w:r>
        <w:rPr>
          <w:rFonts w:ascii="宋体" w:hAnsi="宋体" w:cs="宋体" w:hint="eastAsia"/>
          <w:sz w:val="24"/>
        </w:rPr>
        <w:t>钠（</w:t>
      </w:r>
      <w:r>
        <w:rPr>
          <w:rFonts w:ascii="宋体" w:hAnsi="宋体" w:cs="宋体" w:hint="eastAsia"/>
          <w:sz w:val="24"/>
        </w:rPr>
        <w:t>Na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钾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K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34</w:t>
      </w:r>
      <w:r>
        <w:rPr>
          <w:rFonts w:ascii="宋体" w:hAnsi="宋体" w:cs="宋体" w:hint="eastAsia"/>
          <w:sz w:val="24"/>
        </w:rPr>
        <w:t>组，其中</w:t>
      </w:r>
      <w:r>
        <w:rPr>
          <w:rFonts w:ascii="宋体" w:hAnsi="宋体" w:cs="宋体" w:hint="eastAsia"/>
          <w:sz w:val="24"/>
        </w:rPr>
        <w:t>钠（</w:t>
      </w:r>
      <w:r>
        <w:rPr>
          <w:rFonts w:ascii="宋体" w:hAnsi="宋体" w:cs="宋体" w:hint="eastAsia"/>
          <w:sz w:val="24"/>
        </w:rPr>
        <w:t>Na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最高值</w:t>
      </w:r>
      <w:r>
        <w:rPr>
          <w:rFonts w:ascii="宋体" w:hAnsi="宋体" w:cs="宋体" w:hint="eastAsia"/>
          <w:sz w:val="24"/>
        </w:rPr>
        <w:t>0.088%</w:t>
      </w:r>
      <w:r>
        <w:rPr>
          <w:rFonts w:ascii="宋体" w:hAnsi="宋体" w:cs="宋体" w:hint="eastAsia"/>
          <w:sz w:val="24"/>
        </w:rPr>
        <w:t>，最低值未检出，如表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所示，平均值</w:t>
      </w:r>
      <w:r>
        <w:rPr>
          <w:rFonts w:ascii="宋体" w:hAnsi="宋体" w:cs="宋体" w:hint="eastAsia"/>
          <w:sz w:val="24"/>
        </w:rPr>
        <w:t>0.016%</w:t>
      </w:r>
      <w:r>
        <w:rPr>
          <w:rFonts w:ascii="宋体" w:hAnsi="宋体" w:cs="宋体" w:hint="eastAsia"/>
          <w:sz w:val="24"/>
        </w:rPr>
        <w:t>，确定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钠（</w:t>
      </w:r>
      <w:r>
        <w:rPr>
          <w:rFonts w:ascii="宋体" w:hAnsi="宋体" w:cs="宋体" w:hint="eastAsia"/>
          <w:sz w:val="24"/>
        </w:rPr>
        <w:t>Na</w:t>
      </w:r>
      <w:r>
        <w:rPr>
          <w:rFonts w:ascii="宋体" w:hAnsi="宋体" w:cs="宋体" w:hint="eastAsia"/>
          <w:sz w:val="24"/>
        </w:rPr>
        <w:t>）≤</w:t>
      </w:r>
      <w:r>
        <w:rPr>
          <w:rFonts w:ascii="宋体" w:hAnsi="宋体" w:cs="宋体" w:hint="eastAsia"/>
          <w:sz w:val="24"/>
        </w:rPr>
        <w:t>0.05%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钾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K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均未检出，确</w:t>
      </w:r>
      <w:r>
        <w:rPr>
          <w:rFonts w:ascii="宋体" w:hAnsi="宋体" w:cs="宋体" w:hint="eastAsia"/>
          <w:sz w:val="24"/>
        </w:rPr>
        <w:t>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钾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K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不得检出。同时考虑到此指标并非所有客户都要求，故补充说明只在客户有需求时才执行。</w:t>
      </w:r>
    </w:p>
    <w:p w14:paraId="5FC35474" w14:textId="77777777" w:rsidR="00B76695" w:rsidRDefault="00FC27A8">
      <w:pPr>
        <w:snapToGrid w:val="0"/>
        <w:spacing w:beforeLines="40" w:before="124" w:afterLines="40" w:after="124"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</w:t>
      </w:r>
    </w:p>
    <w:tbl>
      <w:tblPr>
        <w:tblW w:w="830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2079"/>
        <w:gridCol w:w="2079"/>
        <w:gridCol w:w="2080"/>
      </w:tblGrid>
      <w:tr w:rsidR="00B76695" w14:paraId="5BC4BB93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38BD64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批号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6A96B5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钠（</w:t>
            </w:r>
            <w:r>
              <w:rPr>
                <w:rFonts w:ascii="宋体" w:hAnsi="宋体" w:cs="宋体" w:hint="eastAsia"/>
                <w:sz w:val="24"/>
              </w:rPr>
              <w:t>Na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C86DB5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钾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K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C9A6FE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报告日期</w:t>
            </w:r>
          </w:p>
        </w:tc>
      </w:tr>
      <w:tr w:rsidR="00B76695" w14:paraId="2042DFA6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55CE67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BT05H121L093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80365C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0.0069%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64AD1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250C92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2021.11.08</w:t>
            </w:r>
          </w:p>
        </w:tc>
      </w:tr>
      <w:tr w:rsidR="00B76695" w14:paraId="14AA3B32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08AB98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BT05H121L093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FD0C5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0.021%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ACE852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D7CB9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2021.11.30</w:t>
            </w:r>
          </w:p>
        </w:tc>
      </w:tr>
      <w:tr w:rsidR="00B76695" w14:paraId="18EC284B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1ADB0D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BT05L121L094-F3051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F65695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0.0060%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0861A0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A12A9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2021.11.10</w:t>
            </w:r>
          </w:p>
        </w:tc>
      </w:tr>
      <w:tr w:rsidR="00B76695" w14:paraId="1EC7AB72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D290A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BT05L121M100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70319A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0.0029%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CFADE3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F2D0FE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2021.11.29</w:t>
            </w:r>
          </w:p>
        </w:tc>
      </w:tr>
      <w:tr w:rsidR="00B76695" w14:paraId="0527EAAB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D08F36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BT05L121M101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B6F939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0.0014%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27DA60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958224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2021.11.29</w:t>
            </w:r>
          </w:p>
        </w:tc>
      </w:tr>
      <w:tr w:rsidR="00B76695" w14:paraId="6D2BF037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6252A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BT05M121L089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20A854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0.057%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8A8954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67337A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2021.11.15</w:t>
            </w:r>
          </w:p>
        </w:tc>
      </w:tr>
      <w:tr w:rsidR="00B76695" w14:paraId="0A18220C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9AB5E4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BT05M121L090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E4D6E3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B8AF1D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C6C196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2021.11.29</w:t>
            </w:r>
          </w:p>
        </w:tc>
      </w:tr>
      <w:tr w:rsidR="00B76695" w14:paraId="2CDB9AA3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ADEE9B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BT05M121L091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4B91CF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0.0043%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C9A44B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4B17C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2021.11.29</w:t>
            </w:r>
          </w:p>
        </w:tc>
      </w:tr>
      <w:tr w:rsidR="00B76695" w14:paraId="614380D8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C8304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BT05M121M095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DF14EE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0.0099%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D6C49B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55810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2021.11.15</w:t>
            </w:r>
          </w:p>
        </w:tc>
      </w:tr>
      <w:tr w:rsidR="00B76695" w14:paraId="1BA564F7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5B2CB3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BT05M121M097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29DFC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0.017%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C7AD27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EA3FF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2021.12.07</w:t>
            </w:r>
          </w:p>
        </w:tc>
      </w:tr>
      <w:tr w:rsidR="00B76695" w14:paraId="63F2DCF9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31F16F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BT05M121M098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AC10D9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0.019%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B346B5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5060B7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2021.12.13</w:t>
            </w:r>
          </w:p>
        </w:tc>
      </w:tr>
      <w:tr w:rsidR="00B76695" w14:paraId="776E58FD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714294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BT05M121M099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B7F728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0.012%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5AD0F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E0F2E4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2021.12.13</w:t>
            </w:r>
          </w:p>
        </w:tc>
      </w:tr>
      <w:tr w:rsidR="00B76695" w14:paraId="15BCD8BB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F58D8E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BT05M121M102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85B41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0.0015%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A5B9E1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7CCC56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2021.12.13</w:t>
            </w:r>
          </w:p>
        </w:tc>
      </w:tr>
      <w:tr w:rsidR="00B76695" w14:paraId="005336AC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8D3442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BT05M121M110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BE9FA7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0.0052%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A3B45F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EF88D5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2021.12.01</w:t>
            </w:r>
          </w:p>
        </w:tc>
      </w:tr>
      <w:tr w:rsidR="00B76695" w14:paraId="0FBB044E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36525D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BT05M121M112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A68D21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0.0029%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518F2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DEE082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2021.12.06</w:t>
            </w:r>
          </w:p>
        </w:tc>
      </w:tr>
      <w:tr w:rsidR="00B76695" w14:paraId="5466919A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4A0D2C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BT05M121N113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8C380E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0.0030%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34D88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962F53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2021.12.13</w:t>
            </w:r>
          </w:p>
        </w:tc>
      </w:tr>
      <w:tr w:rsidR="00B76695" w14:paraId="7D0DBE5C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DECB17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BT05N121H064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61DB8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0.020%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12ECEA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BBA16E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2021.07.30</w:t>
            </w:r>
          </w:p>
        </w:tc>
      </w:tr>
      <w:tr w:rsidR="00B76695" w14:paraId="5F880239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34CC7D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BT05N121J066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39B0C5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348CB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1081E8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2021.08.23</w:t>
            </w:r>
          </w:p>
        </w:tc>
      </w:tr>
      <w:tr w:rsidR="00B76695" w14:paraId="4FDFA46F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CA352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BT05N121J068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B66CB7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198CFC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E67D19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2021.08.29</w:t>
            </w:r>
          </w:p>
        </w:tc>
      </w:tr>
      <w:tr w:rsidR="00B76695" w14:paraId="3E626512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1B405D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BT05N121J069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2503EC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0.013%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B852AF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CD207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2021.08.30</w:t>
            </w:r>
          </w:p>
        </w:tc>
      </w:tr>
      <w:tr w:rsidR="00B76695" w14:paraId="26172BDB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FCC2B1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BT05N121J072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9E237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0.0059%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BC36DB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54C50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2021.09.06</w:t>
            </w:r>
          </w:p>
        </w:tc>
      </w:tr>
      <w:tr w:rsidR="00B76695" w14:paraId="50B6011D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1FA3EA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BT05N121J073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841B10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B31542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E752FC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2021.09.08</w:t>
            </w:r>
          </w:p>
        </w:tc>
      </w:tr>
      <w:tr w:rsidR="00B76695" w14:paraId="0F465E83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15594F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BT05N121K075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41BDD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0.013%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1D052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85A67A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2021.09.23</w:t>
            </w:r>
          </w:p>
        </w:tc>
      </w:tr>
      <w:tr w:rsidR="00B76695" w14:paraId="2AAFAB49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9A484F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BT05N121K076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78D7BC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0.061%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9D253C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4E545B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2021.09.27</w:t>
            </w:r>
          </w:p>
        </w:tc>
      </w:tr>
      <w:tr w:rsidR="00B76695" w14:paraId="3950F2BB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04ADF6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BT05N121K077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68F14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0.055%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BFDAEA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E21FF6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2021.09.23</w:t>
            </w:r>
          </w:p>
        </w:tc>
      </w:tr>
      <w:tr w:rsidR="00B76695" w14:paraId="2403AB5F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17CCC9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BT05N121K079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BC2BDB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0.088%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8F3DF2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C5C42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2021.09.27</w:t>
            </w:r>
          </w:p>
        </w:tc>
      </w:tr>
      <w:tr w:rsidR="00B76695" w14:paraId="187CC46D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D217C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BT05N121K080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E6227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0.018%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8C47FB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564D64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2021.09.28</w:t>
            </w:r>
          </w:p>
        </w:tc>
      </w:tr>
      <w:tr w:rsidR="00B76695" w14:paraId="37A951D6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88354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BT05N121K081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570E10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0.014%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675832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35AFE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2021.09.28</w:t>
            </w:r>
          </w:p>
        </w:tc>
      </w:tr>
      <w:tr w:rsidR="00B76695" w14:paraId="4BF3C767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5B5455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BT05N121L092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6315F0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0.014%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F17CD0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21BA4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2021.11.16</w:t>
            </w:r>
          </w:p>
        </w:tc>
      </w:tr>
      <w:tr w:rsidR="00B76695" w14:paraId="11724B8B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35884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BT05N221J067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AB98E5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0.0078%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96802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7C0907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2021.09.07</w:t>
            </w:r>
          </w:p>
        </w:tc>
      </w:tr>
      <w:tr w:rsidR="00B76695" w14:paraId="4B451CD6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8C8DD1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BT05N221J067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D609F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0.0079%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A49A12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B7124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2021.08.31</w:t>
            </w:r>
          </w:p>
        </w:tc>
      </w:tr>
      <w:tr w:rsidR="00B76695" w14:paraId="1906F482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701EE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BT05N221J071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95F342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0.0070%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45F9B2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2CFCD6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2021.08.28</w:t>
            </w:r>
          </w:p>
        </w:tc>
      </w:tr>
      <w:tr w:rsidR="00B76695" w14:paraId="6E259704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ADED2C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BT05N221K074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148F4F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E94A1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ECC495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2021.09.11</w:t>
            </w:r>
          </w:p>
        </w:tc>
      </w:tr>
      <w:tr w:rsidR="00B76695" w14:paraId="09EA3340" w14:textId="77777777">
        <w:trPr>
          <w:trHeight w:val="3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31F788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BT05N221K078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9609C0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0.0076%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4F8EF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未检出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92C775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2021.09.18</w:t>
            </w:r>
          </w:p>
        </w:tc>
      </w:tr>
    </w:tbl>
    <w:p w14:paraId="78BCC309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细菌内毒素：企业委托第三方检测机构</w:t>
      </w:r>
      <w:r>
        <w:rPr>
          <w:rFonts w:ascii="宋体" w:hAnsi="宋体" w:cs="宋体" w:hint="eastAsia"/>
          <w:sz w:val="24"/>
        </w:rPr>
        <w:t>进行检测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实测＜</w:t>
      </w:r>
      <w:r>
        <w:rPr>
          <w:rFonts w:ascii="宋体" w:hAnsi="宋体" w:cs="宋体" w:hint="eastAsia"/>
          <w:sz w:val="24"/>
        </w:rPr>
        <w:t>0.100EU/mg</w:t>
      </w:r>
      <w:r>
        <w:rPr>
          <w:rFonts w:ascii="宋体" w:hAnsi="宋体" w:cs="宋体" w:hint="eastAsia"/>
          <w:sz w:val="24"/>
        </w:rPr>
        <w:t>，如表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所示，确定标准指标为＜</w:t>
      </w:r>
      <w:r>
        <w:rPr>
          <w:rFonts w:ascii="宋体" w:hAnsi="宋体" w:cs="宋体" w:hint="eastAsia"/>
          <w:sz w:val="24"/>
        </w:rPr>
        <w:t>0.200EU/mg</w:t>
      </w:r>
      <w:r>
        <w:rPr>
          <w:rFonts w:ascii="宋体" w:hAnsi="宋体" w:cs="宋体" w:hint="eastAsia"/>
          <w:sz w:val="24"/>
        </w:rPr>
        <w:t>。</w:t>
      </w:r>
    </w:p>
    <w:p w14:paraId="7C933796" w14:textId="77777777" w:rsidR="00B76695" w:rsidRDefault="00FC27A8">
      <w:pPr>
        <w:snapToGrid w:val="0"/>
        <w:spacing w:beforeLines="40" w:before="124" w:afterLines="40" w:after="124"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</w:t>
      </w:r>
    </w:p>
    <w:tbl>
      <w:tblPr>
        <w:tblW w:w="83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5"/>
        <w:gridCol w:w="1641"/>
        <w:gridCol w:w="1847"/>
        <w:gridCol w:w="1706"/>
        <w:gridCol w:w="1682"/>
      </w:tblGrid>
      <w:tr w:rsidR="00B76695" w14:paraId="4C959FCA" w14:textId="77777777">
        <w:trPr>
          <w:trHeight w:val="54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8777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送检日期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C4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批号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82CE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检验项目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86D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检验方法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842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检验结果</w:t>
            </w:r>
          </w:p>
        </w:tc>
      </w:tr>
      <w:tr w:rsidR="00B76695" w14:paraId="2CA1919F" w14:textId="77777777">
        <w:trPr>
          <w:trHeight w:val="54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D72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2021.04.25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098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BT05N221C053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308D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D0B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中国药典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6BA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&lt;0.100EU/mg</w:t>
            </w:r>
          </w:p>
        </w:tc>
      </w:tr>
      <w:tr w:rsidR="00B76695" w14:paraId="328D9786" w14:textId="77777777">
        <w:trPr>
          <w:trHeight w:val="54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58F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2021.10.14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D5A7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BT05N121K082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4483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6C3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中国药典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E9A2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&lt;0.100EU/mg</w:t>
            </w:r>
          </w:p>
        </w:tc>
      </w:tr>
    </w:tbl>
    <w:p w14:paraId="7CFACE29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黄曲霉毒素：</w:t>
      </w:r>
      <w:r>
        <w:rPr>
          <w:rFonts w:ascii="宋体" w:hAnsi="宋体" w:cs="宋体" w:hint="eastAsia"/>
          <w:sz w:val="24"/>
        </w:rPr>
        <w:t>GB 2761</w:t>
      </w:r>
      <w:r>
        <w:rPr>
          <w:rFonts w:ascii="宋体" w:hAnsi="宋体" w:cs="宋体" w:hint="eastAsia"/>
          <w:sz w:val="24"/>
        </w:rPr>
        <w:t>《食品安全国家标准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食品中真菌毒素限量》规定了黄曲霉毒素等真菌毒素在食品中的限量，根据</w:t>
      </w:r>
      <w:r>
        <w:rPr>
          <w:rFonts w:ascii="宋体" w:hAnsi="宋体" w:cs="宋体" w:hint="eastAsia"/>
          <w:sz w:val="24"/>
        </w:rPr>
        <w:t>GB 2761</w:t>
      </w:r>
      <w:r>
        <w:rPr>
          <w:rFonts w:ascii="宋体" w:hAnsi="宋体" w:cs="宋体" w:hint="eastAsia"/>
          <w:sz w:val="24"/>
        </w:rPr>
        <w:t>要求，确定黄曲霉毒素指标为＜</w:t>
      </w:r>
      <w:r>
        <w:rPr>
          <w:rFonts w:ascii="宋体" w:hAnsi="宋体" w:cs="宋体" w:hint="eastAsia"/>
          <w:sz w:val="24"/>
        </w:rPr>
        <w:t>0.5</w:t>
      </w:r>
      <w:r>
        <w:rPr>
          <w:rFonts w:ascii="宋体" w:hAnsi="宋体" w:cs="宋体" w:hint="eastAsia"/>
          <w:sz w:val="24"/>
        </w:rPr>
        <w:t>μ</w:t>
      </w:r>
      <w:r>
        <w:rPr>
          <w:rFonts w:ascii="宋体" w:hAnsi="宋体" w:cs="宋体" w:hint="eastAsia"/>
          <w:sz w:val="24"/>
        </w:rPr>
        <w:t>g/kg</w:t>
      </w:r>
      <w:r>
        <w:rPr>
          <w:rFonts w:ascii="宋体" w:hAnsi="宋体" w:cs="宋体" w:hint="eastAsia"/>
          <w:sz w:val="24"/>
        </w:rPr>
        <w:t>。</w:t>
      </w:r>
    </w:p>
    <w:p w14:paraId="3CC3FCF8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4</w:t>
      </w:r>
      <w:r>
        <w:rPr>
          <w:rFonts w:ascii="黑体" w:eastAsia="黑体" w:hint="eastAsia"/>
          <w:sz w:val="24"/>
        </w:rPr>
        <w:t>）污染物限量</w:t>
      </w:r>
    </w:p>
    <w:p w14:paraId="45CC9C85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铅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总砷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总汞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镉：企业</w:t>
      </w:r>
      <w:r>
        <w:rPr>
          <w:rFonts w:ascii="宋体" w:hAnsi="宋体" w:cs="宋体" w:hint="eastAsia"/>
          <w:sz w:val="24"/>
        </w:rPr>
        <w:t>委托第三方检测机构依据相关国家标准对</w:t>
      </w:r>
      <w:r>
        <w:rPr>
          <w:rFonts w:ascii="宋体" w:hAnsi="宋体" w:cs="宋体" w:hint="eastAsia"/>
          <w:sz w:val="24"/>
        </w:rPr>
        <w:t>铅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总砷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总汞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镉</w:t>
      </w:r>
      <w:r>
        <w:rPr>
          <w:rFonts w:ascii="宋体" w:hAnsi="宋体" w:cs="宋体" w:hint="eastAsia"/>
          <w:sz w:val="24"/>
        </w:rPr>
        <w:t>进行检测，除铅有一次</w:t>
      </w:r>
      <w:r>
        <w:rPr>
          <w:rFonts w:ascii="宋体" w:hAnsi="宋体" w:cs="宋体" w:hint="eastAsia"/>
          <w:sz w:val="24"/>
        </w:rPr>
        <w:t>实测</w:t>
      </w:r>
      <w:r>
        <w:rPr>
          <w:rFonts w:ascii="宋体" w:hAnsi="宋体" w:cs="宋体" w:hint="eastAsia"/>
          <w:sz w:val="24"/>
        </w:rPr>
        <w:t>0.060mg/kg</w:t>
      </w:r>
      <w:r>
        <w:rPr>
          <w:rFonts w:ascii="宋体" w:hAnsi="宋体" w:cs="宋体" w:hint="eastAsia"/>
          <w:sz w:val="24"/>
        </w:rPr>
        <w:t>外，其余均未检出，详见表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，参考企业标准，确定标准指标为</w:t>
      </w:r>
      <w:r>
        <w:rPr>
          <w:rFonts w:ascii="宋体" w:hAnsi="宋体" w:cs="宋体" w:hint="eastAsia"/>
          <w:sz w:val="24"/>
        </w:rPr>
        <w:t>≤</w:t>
      </w:r>
      <w:r>
        <w:rPr>
          <w:rFonts w:ascii="宋体" w:hAnsi="宋体" w:cs="宋体" w:hint="eastAsia"/>
          <w:sz w:val="24"/>
        </w:rPr>
        <w:t>0.1mg/kg</w:t>
      </w:r>
      <w:r>
        <w:rPr>
          <w:rFonts w:ascii="宋体" w:hAnsi="宋体" w:cs="宋体" w:hint="eastAsia"/>
          <w:sz w:val="24"/>
        </w:rPr>
        <w:t>。</w:t>
      </w:r>
    </w:p>
    <w:p w14:paraId="559D7FC5" w14:textId="77777777" w:rsidR="00B76695" w:rsidRDefault="00FC27A8">
      <w:pPr>
        <w:snapToGrid w:val="0"/>
        <w:spacing w:beforeLines="40" w:before="124" w:afterLines="40" w:after="124"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表</w:t>
      </w:r>
      <w:r>
        <w:rPr>
          <w:rFonts w:ascii="宋体" w:hAnsi="宋体" w:cs="宋体" w:hint="eastAsia"/>
          <w:sz w:val="24"/>
        </w:rPr>
        <w:t>5</w:t>
      </w:r>
    </w:p>
    <w:tbl>
      <w:tblPr>
        <w:tblW w:w="82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5"/>
        <w:gridCol w:w="1607"/>
        <w:gridCol w:w="1666"/>
        <w:gridCol w:w="1916"/>
        <w:gridCol w:w="1668"/>
      </w:tblGrid>
      <w:tr w:rsidR="00B76695" w14:paraId="34EC3818" w14:textId="77777777">
        <w:trPr>
          <w:trHeight w:val="54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802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送检日期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655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批号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C4FD0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检验项目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A18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检验方法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8608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检验结果</w:t>
            </w:r>
          </w:p>
        </w:tc>
      </w:tr>
      <w:tr w:rsidR="00B76695" w14:paraId="46EC40C8" w14:textId="77777777">
        <w:trPr>
          <w:trHeight w:val="108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0BFC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2021.05.11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B43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BT05N121F054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99E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铅</w:t>
            </w:r>
          </w:p>
          <w:p w14:paraId="3B50CB3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汞</w:t>
            </w:r>
          </w:p>
          <w:p w14:paraId="2590114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镉</w:t>
            </w:r>
          </w:p>
          <w:p w14:paraId="22F4DCDE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E9F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GB5009.12-2017</w:t>
            </w:r>
          </w:p>
          <w:p w14:paraId="2B21A736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GB5009.17-2014</w:t>
            </w:r>
          </w:p>
          <w:p w14:paraId="45188D7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GB5009.15-2014</w:t>
            </w:r>
          </w:p>
          <w:p w14:paraId="59F8200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GB5009.11-2014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0B9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0.060mg/kg</w:t>
            </w:r>
          </w:p>
          <w:p w14:paraId="46B40955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未检出</w:t>
            </w:r>
          </w:p>
          <w:p w14:paraId="03D6DB6C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未检出</w:t>
            </w:r>
          </w:p>
          <w:p w14:paraId="64AC7408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未检出</w:t>
            </w:r>
          </w:p>
        </w:tc>
      </w:tr>
      <w:tr w:rsidR="00B76695" w14:paraId="1A6D4D5D" w14:textId="77777777">
        <w:trPr>
          <w:trHeight w:val="108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056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2021.05.18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5A71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BT05N121F055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2C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铅</w:t>
            </w:r>
          </w:p>
          <w:p w14:paraId="789BDC77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汞</w:t>
            </w:r>
          </w:p>
          <w:p w14:paraId="0E65B1B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镉</w:t>
            </w:r>
          </w:p>
          <w:p w14:paraId="6E5EEC3A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62DB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GB5009.12-2017</w:t>
            </w:r>
          </w:p>
          <w:p w14:paraId="79725A13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GB5009.17-2014</w:t>
            </w:r>
          </w:p>
          <w:p w14:paraId="32F6880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GB5009.15-2014</w:t>
            </w:r>
          </w:p>
          <w:p w14:paraId="36CD81EF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GB5009.11-2014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7E4D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未检出</w:t>
            </w:r>
          </w:p>
          <w:p w14:paraId="32400699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未检出</w:t>
            </w:r>
          </w:p>
          <w:p w14:paraId="5D49DF04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未检出</w:t>
            </w:r>
          </w:p>
          <w:p w14:paraId="75FD8892" w14:textId="77777777" w:rsidR="00B76695" w:rsidRDefault="00FC2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未检出</w:t>
            </w:r>
          </w:p>
        </w:tc>
      </w:tr>
    </w:tbl>
    <w:p w14:paraId="6E3DBA3B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5</w:t>
      </w:r>
      <w:r>
        <w:rPr>
          <w:rFonts w:ascii="黑体" w:eastAsia="黑体" w:hint="eastAsia"/>
          <w:sz w:val="24"/>
        </w:rPr>
        <w:t>）微生物指标</w:t>
      </w:r>
    </w:p>
    <w:p w14:paraId="511E5448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菌落总数：企业</w:t>
      </w:r>
      <w:r>
        <w:rPr>
          <w:rFonts w:ascii="宋体" w:hAnsi="宋体" w:cs="宋体" w:hint="eastAsia"/>
          <w:sz w:val="24"/>
        </w:rPr>
        <w:t>内测</w:t>
      </w:r>
      <w:r>
        <w:rPr>
          <w:rFonts w:ascii="宋体" w:hAnsi="宋体" w:cs="宋体" w:hint="eastAsia"/>
          <w:sz w:val="24"/>
        </w:rPr>
        <w:t>20CFU/g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参考企业标准，确定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≤</w:t>
      </w:r>
      <w:r>
        <w:rPr>
          <w:rFonts w:ascii="宋体" w:hAnsi="宋体" w:cs="宋体" w:hint="eastAsia"/>
          <w:sz w:val="24"/>
        </w:rPr>
        <w:t>50</w:t>
      </w:r>
      <w:r>
        <w:rPr>
          <w:rFonts w:ascii="宋体" w:hAnsi="宋体" w:cs="宋体" w:hint="eastAsia"/>
          <w:sz w:val="24"/>
        </w:rPr>
        <w:t>0CFU/g</w:t>
      </w:r>
      <w:r>
        <w:rPr>
          <w:rFonts w:ascii="宋体" w:hAnsi="宋体" w:cs="宋体" w:hint="eastAsia"/>
          <w:sz w:val="24"/>
        </w:rPr>
        <w:t>。</w:t>
      </w:r>
    </w:p>
    <w:p w14:paraId="139428E6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大肠菌群：企业</w:t>
      </w:r>
      <w:r>
        <w:rPr>
          <w:rFonts w:ascii="宋体" w:hAnsi="宋体" w:cs="宋体" w:hint="eastAsia"/>
          <w:sz w:val="24"/>
        </w:rPr>
        <w:t>内测</w:t>
      </w:r>
      <w:r>
        <w:rPr>
          <w:rFonts w:ascii="宋体" w:hAnsi="宋体" w:cs="宋体" w:hint="eastAsia"/>
          <w:sz w:val="24"/>
        </w:rPr>
        <w:t>未检出，</w:t>
      </w:r>
      <w:r>
        <w:rPr>
          <w:rFonts w:ascii="宋体" w:hAnsi="宋体" w:cs="宋体" w:hint="eastAsia"/>
          <w:sz w:val="24"/>
        </w:rPr>
        <w:t>参考企业标准，确定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≤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MPN</w:t>
      </w:r>
      <w:r>
        <w:rPr>
          <w:rFonts w:ascii="宋体" w:hAnsi="宋体" w:cs="宋体" w:hint="eastAsia"/>
          <w:sz w:val="24"/>
        </w:rPr>
        <w:t>/g</w:t>
      </w:r>
      <w:r>
        <w:rPr>
          <w:rFonts w:ascii="宋体" w:hAnsi="宋体" w:cs="宋体" w:hint="eastAsia"/>
          <w:sz w:val="24"/>
        </w:rPr>
        <w:t>。</w:t>
      </w:r>
    </w:p>
    <w:p w14:paraId="35F1B1C2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霉菌和酵母菌：企业</w:t>
      </w:r>
      <w:r>
        <w:rPr>
          <w:rFonts w:ascii="宋体" w:hAnsi="宋体" w:cs="宋体" w:hint="eastAsia"/>
          <w:sz w:val="24"/>
        </w:rPr>
        <w:t>内测</w:t>
      </w:r>
      <w:r>
        <w:rPr>
          <w:rFonts w:ascii="宋体" w:hAnsi="宋体" w:cs="宋体" w:hint="eastAsia"/>
          <w:sz w:val="24"/>
        </w:rPr>
        <w:t>未检出，</w:t>
      </w:r>
      <w:r>
        <w:rPr>
          <w:rFonts w:ascii="宋体" w:hAnsi="宋体" w:cs="宋体" w:hint="eastAsia"/>
          <w:sz w:val="24"/>
        </w:rPr>
        <w:t>参考企业标准，确定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≤</w:t>
      </w:r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CFU/g</w:t>
      </w:r>
      <w:r>
        <w:rPr>
          <w:rFonts w:ascii="宋体" w:hAnsi="宋体" w:cs="宋体" w:hint="eastAsia"/>
          <w:sz w:val="24"/>
        </w:rPr>
        <w:t>。</w:t>
      </w:r>
    </w:p>
    <w:p w14:paraId="143D2DC8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沙门氏菌：属致病菌。企业</w:t>
      </w:r>
      <w:r>
        <w:rPr>
          <w:rFonts w:ascii="宋体" w:hAnsi="宋体" w:cs="宋体" w:hint="eastAsia"/>
          <w:sz w:val="24"/>
        </w:rPr>
        <w:t>委托第三方检测机构</w:t>
      </w:r>
      <w:r>
        <w:rPr>
          <w:rFonts w:ascii="宋体" w:hAnsi="宋体" w:cs="宋体" w:hint="eastAsia"/>
          <w:sz w:val="24"/>
        </w:rPr>
        <w:t>实测未检出，</w:t>
      </w:r>
      <w:r>
        <w:rPr>
          <w:rFonts w:ascii="宋体" w:hAnsi="宋体" w:cs="宋体" w:hint="eastAsia"/>
          <w:sz w:val="24"/>
        </w:rPr>
        <w:t>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不得检出。</w:t>
      </w:r>
    </w:p>
    <w:p w14:paraId="0A11FE04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金黄色葡萄球菌：属致病菌。企业</w:t>
      </w:r>
      <w:r>
        <w:rPr>
          <w:rFonts w:ascii="宋体" w:hAnsi="宋体" w:cs="宋体" w:hint="eastAsia"/>
          <w:sz w:val="24"/>
        </w:rPr>
        <w:t>委托第三方检测机构</w:t>
      </w:r>
      <w:r>
        <w:rPr>
          <w:rFonts w:ascii="宋体" w:hAnsi="宋体" w:cs="宋体" w:hint="eastAsia"/>
          <w:sz w:val="24"/>
        </w:rPr>
        <w:t>实测未检出，</w:t>
      </w:r>
      <w:r>
        <w:rPr>
          <w:rFonts w:ascii="宋体" w:hAnsi="宋体" w:cs="宋体" w:hint="eastAsia"/>
          <w:sz w:val="24"/>
        </w:rPr>
        <w:t>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不得检出。</w:t>
      </w:r>
    </w:p>
    <w:p w14:paraId="6F4AA74F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致泻大肠埃希氏菌</w:t>
      </w:r>
      <w:r>
        <w:rPr>
          <w:rFonts w:ascii="宋体" w:hAnsi="宋体" w:cs="宋体" w:hint="eastAsia"/>
          <w:sz w:val="24"/>
        </w:rPr>
        <w:t>：属致病菌。企业</w:t>
      </w:r>
      <w:r>
        <w:rPr>
          <w:rFonts w:ascii="宋体" w:hAnsi="宋体" w:cs="宋体" w:hint="eastAsia"/>
          <w:sz w:val="24"/>
        </w:rPr>
        <w:t>委托第三方检测机构</w:t>
      </w:r>
      <w:r>
        <w:rPr>
          <w:rFonts w:ascii="宋体" w:hAnsi="宋体" w:cs="宋体" w:hint="eastAsia"/>
          <w:sz w:val="24"/>
        </w:rPr>
        <w:t>实测未检出，</w:t>
      </w:r>
      <w:r>
        <w:rPr>
          <w:rFonts w:ascii="宋体" w:hAnsi="宋体" w:cs="宋体" w:hint="eastAsia"/>
          <w:sz w:val="24"/>
        </w:rPr>
        <w:t>确定</w:t>
      </w:r>
      <w:r>
        <w:rPr>
          <w:rFonts w:ascii="宋体" w:hAnsi="宋体" w:cs="宋体" w:hint="eastAsia"/>
          <w:sz w:val="24"/>
        </w:rPr>
        <w:t>指标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不得检出。</w:t>
      </w:r>
    </w:p>
    <w:p w14:paraId="1E0162F5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三、与现行法律法规、强制性标准和其他有关标准的关系，采用国际标准的程度及水平简要说明</w:t>
      </w:r>
    </w:p>
    <w:p w14:paraId="363E2227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本标准与现行法律法规、强制性标准和其他有关</w:t>
      </w:r>
      <w:r>
        <w:rPr>
          <w:rFonts w:hint="eastAsia"/>
          <w:sz w:val="24"/>
        </w:rPr>
        <w:t>标准协调一致。</w:t>
      </w:r>
    </w:p>
    <w:p w14:paraId="08B10125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本标准制定过程中未查询到国际标准。</w:t>
      </w:r>
    </w:p>
    <w:p w14:paraId="0985AD28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本标准达到国内领先水平。</w:t>
      </w:r>
    </w:p>
    <w:p w14:paraId="68507A4C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四、重大分歧意见的处理结果和依据。</w:t>
      </w:r>
    </w:p>
    <w:p w14:paraId="72709A3C" w14:textId="77777777" w:rsidR="00B76695" w:rsidRDefault="00FC27A8">
      <w:pPr>
        <w:snapToGrid w:val="0"/>
        <w:spacing w:beforeLines="40" w:before="124" w:afterLines="40" w:after="124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本标准制定过程中无重大分歧意见。</w:t>
      </w:r>
    </w:p>
    <w:p w14:paraId="64D9EDD3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五、贯彻促进会标准的要求和措施建议（包括组织措施、技术措施、过渡办法等内容）</w:t>
      </w:r>
    </w:p>
    <w:p w14:paraId="1785A593" w14:textId="77777777" w:rsidR="00B76695" w:rsidRDefault="00FC27A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ˎ̥" w:hAnsi="ˎ̥" w:hint="eastAsia"/>
          <w:sz w:val="24"/>
        </w:rPr>
        <w:t>建议本标准</w:t>
      </w:r>
      <w:r>
        <w:rPr>
          <w:rFonts w:hint="eastAsia"/>
          <w:sz w:val="24"/>
        </w:rPr>
        <w:t>发布即</w:t>
      </w:r>
      <w:r>
        <w:rPr>
          <w:rFonts w:ascii="ˎ̥" w:hAnsi="ˎ̥" w:hint="eastAsia"/>
          <w:sz w:val="24"/>
        </w:rPr>
        <w:t>实施。</w:t>
      </w:r>
    </w:p>
    <w:p w14:paraId="7D2DBDC8" w14:textId="77777777" w:rsidR="00B76695" w:rsidRDefault="00FC27A8">
      <w:pPr>
        <w:spacing w:beforeLines="100" w:before="312" w:afterLines="40" w:after="124"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六、其他应予说明的事项。</w:t>
      </w:r>
    </w:p>
    <w:p w14:paraId="5ED6A980" w14:textId="77777777" w:rsidR="00B76695" w:rsidRDefault="00FC27A8">
      <w:pPr>
        <w:pStyle w:val="af2"/>
        <w:spacing w:line="360" w:lineRule="auto"/>
        <w:ind w:firstLine="480"/>
        <w:rPr>
          <w:rFonts w:ascii="ˎ̥" w:hAnsi="ˎ̥" w:hint="eastAsia"/>
          <w:sz w:val="24"/>
          <w:lang w:val="en-US"/>
        </w:rPr>
      </w:pPr>
      <w:r>
        <w:rPr>
          <w:rFonts w:ascii="ˎ̥" w:hAnsi="ˎ̥" w:hint="eastAsia"/>
          <w:sz w:val="24"/>
          <w:lang w:val="en-US"/>
        </w:rPr>
        <w:t>无</w:t>
      </w:r>
      <w:r>
        <w:rPr>
          <w:rFonts w:ascii="ˎ̥" w:hAnsi="ˎ̥" w:hint="eastAsia"/>
          <w:sz w:val="24"/>
        </w:rPr>
        <w:t>。</w:t>
      </w:r>
    </w:p>
    <w:sectPr w:rsidR="00B766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BBA4" w14:textId="77777777" w:rsidR="00FC27A8" w:rsidRDefault="00FC27A8">
      <w:r>
        <w:separator/>
      </w:r>
    </w:p>
  </w:endnote>
  <w:endnote w:type="continuationSeparator" w:id="0">
    <w:p w14:paraId="5D55119B" w14:textId="77777777" w:rsidR="00FC27A8" w:rsidRDefault="00FC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3599" w14:textId="77777777" w:rsidR="00B76695" w:rsidRDefault="00B766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9912" w14:textId="77777777" w:rsidR="00B76695" w:rsidRDefault="00FC27A8">
    <w:pPr>
      <w:pStyle w:val="ab"/>
    </w:pPr>
    <w:r>
      <w:pict w14:anchorId="253B99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105621605"/>
                </w:sdtPr>
                <w:sdtEndPr/>
                <w:sdtContent>
                  <w:sdt>
                    <w:sdtPr>
                      <w:id w:val="-1705238520"/>
                    </w:sdtPr>
                    <w:sdtEndPr/>
                    <w:sdtContent>
                      <w:p w14:paraId="7A8A3741" w14:textId="77777777" w:rsidR="00B76695" w:rsidRDefault="00FC27A8">
                        <w:pPr>
                          <w:pStyle w:val="ab"/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lang w:val="zh-CN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lang w:val="zh-CN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2376AA82" w14:textId="77777777" w:rsidR="00B76695" w:rsidRDefault="00B76695"/>
            </w:txbxContent>
          </v:textbox>
          <w10:wrap anchorx="margin"/>
        </v:shape>
      </w:pict>
    </w:r>
  </w:p>
  <w:p w14:paraId="11363157" w14:textId="77777777" w:rsidR="00B76695" w:rsidRDefault="00B7669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C77C" w14:textId="77777777" w:rsidR="00B76695" w:rsidRDefault="00B766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25A9" w14:textId="77777777" w:rsidR="00FC27A8" w:rsidRDefault="00FC27A8">
      <w:r>
        <w:separator/>
      </w:r>
    </w:p>
  </w:footnote>
  <w:footnote w:type="continuationSeparator" w:id="0">
    <w:p w14:paraId="63AB6E6D" w14:textId="77777777" w:rsidR="00FC27A8" w:rsidRDefault="00FC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5B8A" w14:textId="77777777" w:rsidR="00B76695" w:rsidRDefault="00B7669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DF4B" w14:textId="77777777" w:rsidR="00B76695" w:rsidRDefault="00B76695">
    <w:pPr>
      <w:pStyle w:val="ad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79BE" w14:textId="77777777" w:rsidR="00B76695" w:rsidRDefault="00B766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E8"/>
    <w:rsid w:val="00096CEA"/>
    <w:rsid w:val="000E41A4"/>
    <w:rsid w:val="000F3F68"/>
    <w:rsid w:val="00131AF5"/>
    <w:rsid w:val="001E01D2"/>
    <w:rsid w:val="001E0F25"/>
    <w:rsid w:val="00275370"/>
    <w:rsid w:val="002E529D"/>
    <w:rsid w:val="00306598"/>
    <w:rsid w:val="00314089"/>
    <w:rsid w:val="00317CA2"/>
    <w:rsid w:val="003618C2"/>
    <w:rsid w:val="00363CFE"/>
    <w:rsid w:val="003B3867"/>
    <w:rsid w:val="00417C7E"/>
    <w:rsid w:val="004A2DAF"/>
    <w:rsid w:val="004A630D"/>
    <w:rsid w:val="004E4598"/>
    <w:rsid w:val="0056750E"/>
    <w:rsid w:val="00582631"/>
    <w:rsid w:val="00586D2B"/>
    <w:rsid w:val="005922F7"/>
    <w:rsid w:val="005C3B7B"/>
    <w:rsid w:val="00610310"/>
    <w:rsid w:val="006215EE"/>
    <w:rsid w:val="00661108"/>
    <w:rsid w:val="0070085F"/>
    <w:rsid w:val="007A0069"/>
    <w:rsid w:val="007F3CCF"/>
    <w:rsid w:val="008319E1"/>
    <w:rsid w:val="008739CA"/>
    <w:rsid w:val="00913F25"/>
    <w:rsid w:val="0095627D"/>
    <w:rsid w:val="00980DE8"/>
    <w:rsid w:val="00A24AEA"/>
    <w:rsid w:val="00A6002B"/>
    <w:rsid w:val="00A616FE"/>
    <w:rsid w:val="00A93A9E"/>
    <w:rsid w:val="00AF6299"/>
    <w:rsid w:val="00B1226B"/>
    <w:rsid w:val="00B761C8"/>
    <w:rsid w:val="00B76695"/>
    <w:rsid w:val="00B7691D"/>
    <w:rsid w:val="00BB0DD5"/>
    <w:rsid w:val="00CE7D88"/>
    <w:rsid w:val="00D86041"/>
    <w:rsid w:val="00D90ABC"/>
    <w:rsid w:val="00DC3647"/>
    <w:rsid w:val="00DD0BBE"/>
    <w:rsid w:val="00DD62B8"/>
    <w:rsid w:val="00E147E8"/>
    <w:rsid w:val="00E14BD6"/>
    <w:rsid w:val="00E44777"/>
    <w:rsid w:val="00F215C9"/>
    <w:rsid w:val="00F614CD"/>
    <w:rsid w:val="00F74128"/>
    <w:rsid w:val="00F80398"/>
    <w:rsid w:val="00F9141C"/>
    <w:rsid w:val="00F965D6"/>
    <w:rsid w:val="00FB3AA3"/>
    <w:rsid w:val="00FC00BB"/>
    <w:rsid w:val="00FC12B7"/>
    <w:rsid w:val="00FC27A8"/>
    <w:rsid w:val="00FD7E33"/>
    <w:rsid w:val="0322279A"/>
    <w:rsid w:val="035739D3"/>
    <w:rsid w:val="0551681E"/>
    <w:rsid w:val="1134754D"/>
    <w:rsid w:val="12CD6FEE"/>
    <w:rsid w:val="1726454E"/>
    <w:rsid w:val="17326629"/>
    <w:rsid w:val="17365EA8"/>
    <w:rsid w:val="17D9107A"/>
    <w:rsid w:val="186336D8"/>
    <w:rsid w:val="1C843955"/>
    <w:rsid w:val="1C9A7366"/>
    <w:rsid w:val="1E3C3081"/>
    <w:rsid w:val="20522232"/>
    <w:rsid w:val="21FF6A62"/>
    <w:rsid w:val="22DC6175"/>
    <w:rsid w:val="24254BA9"/>
    <w:rsid w:val="2A63473C"/>
    <w:rsid w:val="2B760E79"/>
    <w:rsid w:val="316B79E6"/>
    <w:rsid w:val="34D63D90"/>
    <w:rsid w:val="34DB2A67"/>
    <w:rsid w:val="35F72828"/>
    <w:rsid w:val="3A653607"/>
    <w:rsid w:val="3B972E61"/>
    <w:rsid w:val="3C9B1A25"/>
    <w:rsid w:val="3D230193"/>
    <w:rsid w:val="3DA22677"/>
    <w:rsid w:val="3DE91BEB"/>
    <w:rsid w:val="3E13087D"/>
    <w:rsid w:val="3EEA56BA"/>
    <w:rsid w:val="3F227E5E"/>
    <w:rsid w:val="467328A4"/>
    <w:rsid w:val="47FC6ED2"/>
    <w:rsid w:val="48275806"/>
    <w:rsid w:val="49161FED"/>
    <w:rsid w:val="4D4D7562"/>
    <w:rsid w:val="4E3B1335"/>
    <w:rsid w:val="4E5726DB"/>
    <w:rsid w:val="4F8B21D5"/>
    <w:rsid w:val="51012E61"/>
    <w:rsid w:val="554B49EA"/>
    <w:rsid w:val="574551BC"/>
    <w:rsid w:val="57D840BE"/>
    <w:rsid w:val="5ABC0073"/>
    <w:rsid w:val="5CD31D13"/>
    <w:rsid w:val="5ECD6079"/>
    <w:rsid w:val="62BB6678"/>
    <w:rsid w:val="69841F9B"/>
    <w:rsid w:val="6EFC30C9"/>
    <w:rsid w:val="6F1B41FB"/>
    <w:rsid w:val="712F4E89"/>
    <w:rsid w:val="7148382D"/>
    <w:rsid w:val="744163C8"/>
    <w:rsid w:val="76F033C8"/>
    <w:rsid w:val="7C317DEB"/>
    <w:rsid w:val="7C5F1B5A"/>
    <w:rsid w:val="7F0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13C98DA"/>
  <w15:docId w15:val="{F125230F-94CF-4EBE-B61F-B1CDA87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f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6"/>
    <w:uiPriority w:val="99"/>
    <w:semiHidden/>
    <w:unhideWhenUsed/>
    <w:qFormat/>
    <w:rPr>
      <w:color w:val="0000FF"/>
      <w:u w:val="single"/>
    </w:rPr>
  </w:style>
  <w:style w:type="character" w:customStyle="1" w:styleId="30">
    <w:name w:val="标题 3 字符"/>
    <w:basedOn w:val="a6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e">
    <w:name w:val="页眉 字符"/>
    <w:basedOn w:val="a6"/>
    <w:link w:val="ad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1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段 Char"/>
    <w:link w:val="af1"/>
    <w:qFormat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文章正文"/>
    <w:basedOn w:val="a5"/>
    <w:link w:val="Char0"/>
    <w:qFormat/>
    <w:pPr>
      <w:ind w:firstLineChars="200" w:firstLine="560"/>
    </w:pPr>
    <w:rPr>
      <w:rFonts w:ascii="宋体" w:hAnsi="宋体"/>
      <w:color w:val="000000"/>
      <w:kern w:val="28"/>
      <w:sz w:val="28"/>
      <w:szCs w:val="28"/>
      <w:lang w:val="zh-CN"/>
    </w:rPr>
  </w:style>
  <w:style w:type="character" w:customStyle="1" w:styleId="Char0">
    <w:name w:val="文章正文 Char"/>
    <w:link w:val="af2"/>
    <w:qFormat/>
    <w:rPr>
      <w:rFonts w:ascii="宋体" w:eastAsia="宋体" w:hAnsi="宋体" w:cs="Times New Roman"/>
      <w:color w:val="000000"/>
      <w:kern w:val="28"/>
      <w:sz w:val="28"/>
      <w:szCs w:val="28"/>
      <w:lang w:val="zh-CN" w:eastAsia="zh-CN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3">
    <w:name w:val="List Paragraph"/>
    <w:basedOn w:val="a5"/>
    <w:uiPriority w:val="34"/>
    <w:qFormat/>
    <w:pPr>
      <w:ind w:firstLineChars="200" w:firstLine="420"/>
    </w:pPr>
  </w:style>
  <w:style w:type="character" w:customStyle="1" w:styleId="af4">
    <w:name w:val="段 字符"/>
    <w:basedOn w:val="a6"/>
    <w:qFormat/>
    <w:rPr>
      <w:rFonts w:ascii="Times New Roman" w:eastAsia="宋体" w:hAnsi="Times New Roman" w:cs="Calibri"/>
      <w:szCs w:val="21"/>
    </w:rPr>
  </w:style>
  <w:style w:type="paragraph" w:customStyle="1" w:styleId="af5">
    <w:name w:val="术语"/>
    <w:basedOn w:val="af1"/>
    <w:next w:val="af1"/>
    <w:link w:val="af6"/>
    <w:qFormat/>
    <w:pPr>
      <w:widowControl w:val="0"/>
      <w:autoSpaceDE/>
      <w:autoSpaceDN/>
      <w:adjustRightInd w:val="0"/>
      <w:ind w:firstLine="420"/>
    </w:pPr>
    <w:rPr>
      <w:rFonts w:ascii="Times New Roman" w:eastAsia="黑体" w:cs="Calibri"/>
      <w:kern w:val="2"/>
      <w:szCs w:val="21"/>
    </w:rPr>
  </w:style>
  <w:style w:type="character" w:customStyle="1" w:styleId="af6">
    <w:name w:val="术语 字符"/>
    <w:basedOn w:val="af4"/>
    <w:link w:val="af5"/>
    <w:qFormat/>
    <w:rPr>
      <w:rFonts w:ascii="Times New Roman" w:eastAsia="黑体" w:hAnsi="Times New Roman" w:cs="Calibri"/>
      <w:szCs w:val="21"/>
    </w:rPr>
  </w:style>
  <w:style w:type="paragraph" w:customStyle="1" w:styleId="1">
    <w:name w:val="1章标题"/>
    <w:next w:val="a5"/>
    <w:uiPriority w:val="99"/>
    <w:qFormat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eastAsia="黑体" w:cs="黑体"/>
      <w:sz w:val="21"/>
      <w:szCs w:val="21"/>
    </w:rPr>
  </w:style>
  <w:style w:type="paragraph" w:customStyle="1" w:styleId="a1">
    <w:name w:val="标准文件_二级条标题"/>
    <w:next w:val="a5"/>
    <w:uiPriority w:val="99"/>
    <w:qFormat/>
    <w:pPr>
      <w:widowControl w:val="0"/>
      <w:numPr>
        <w:ilvl w:val="3"/>
        <w:numId w:val="1"/>
      </w:numPr>
      <w:jc w:val="both"/>
      <w:outlineLvl w:val="2"/>
    </w:pPr>
    <w:rPr>
      <w:rFonts w:ascii="黑体" w:eastAsia="黑体" w:cs="黑体"/>
      <w:sz w:val="21"/>
      <w:szCs w:val="21"/>
    </w:rPr>
  </w:style>
  <w:style w:type="paragraph" w:customStyle="1" w:styleId="a2">
    <w:name w:val="标准文件_三级条标题"/>
    <w:basedOn w:val="a1"/>
    <w:next w:val="a5"/>
    <w:uiPriority w:val="99"/>
    <w:qFormat/>
    <w:pPr>
      <w:widowControl/>
      <w:numPr>
        <w:ilvl w:val="4"/>
      </w:numPr>
      <w:outlineLvl w:val="3"/>
    </w:pPr>
  </w:style>
  <w:style w:type="paragraph" w:customStyle="1" w:styleId="a3">
    <w:name w:val="标准文件_四级条标题"/>
    <w:next w:val="a5"/>
    <w:uiPriority w:val="99"/>
    <w:qFormat/>
    <w:pPr>
      <w:widowControl w:val="0"/>
      <w:numPr>
        <w:ilvl w:val="5"/>
        <w:numId w:val="1"/>
      </w:numPr>
      <w:jc w:val="both"/>
      <w:outlineLvl w:val="4"/>
    </w:pPr>
    <w:rPr>
      <w:rFonts w:ascii="黑体" w:eastAsia="黑体" w:cs="黑体"/>
      <w:sz w:val="21"/>
      <w:szCs w:val="21"/>
    </w:rPr>
  </w:style>
  <w:style w:type="paragraph" w:customStyle="1" w:styleId="a4">
    <w:name w:val="标准文件_五级条标题"/>
    <w:next w:val="a5"/>
    <w:uiPriority w:val="99"/>
    <w:qFormat/>
    <w:pPr>
      <w:widowControl w:val="0"/>
      <w:numPr>
        <w:ilvl w:val="6"/>
        <w:numId w:val="1"/>
      </w:numPr>
      <w:jc w:val="both"/>
      <w:outlineLvl w:val="5"/>
    </w:pPr>
    <w:rPr>
      <w:rFonts w:ascii="黑体" w:eastAsia="黑体" w:cs="黑体"/>
      <w:sz w:val="21"/>
      <w:szCs w:val="21"/>
    </w:rPr>
  </w:style>
  <w:style w:type="paragraph" w:customStyle="1" w:styleId="a0">
    <w:name w:val="标准文件_一级条标题"/>
    <w:basedOn w:val="1"/>
    <w:next w:val="a5"/>
    <w:uiPriority w:val="99"/>
    <w:qFormat/>
    <w:pPr>
      <w:numPr>
        <w:ilvl w:val="2"/>
      </w:numPr>
      <w:spacing w:beforeLines="0" w:afterLines="0"/>
      <w:outlineLvl w:val="1"/>
    </w:pPr>
  </w:style>
  <w:style w:type="paragraph" w:customStyle="1" w:styleId="a">
    <w:name w:val="前言标题"/>
    <w:next w:val="a5"/>
    <w:uiPriority w:val="99"/>
    <w:qFormat/>
    <w:pPr>
      <w:numPr>
        <w:numId w:val="1"/>
      </w:numPr>
      <w:shd w:val="clear" w:color="FFFFFF" w:fill="FFFFFF"/>
      <w:spacing w:before="54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7">
    <w:name w:val="二级条标题"/>
    <w:basedOn w:val="a1"/>
    <w:next w:val="af1"/>
    <w:link w:val="af8"/>
    <w:qFormat/>
    <w:pPr>
      <w:spacing w:beforeLines="50" w:before="50" w:afterLines="50" w:after="50"/>
    </w:pPr>
    <w:rPr>
      <w:rFonts w:ascii="Times New Roman"/>
    </w:rPr>
  </w:style>
  <w:style w:type="character" w:customStyle="1" w:styleId="af8">
    <w:name w:val="二级条标题 字符"/>
    <w:basedOn w:val="a6"/>
    <w:link w:val="af7"/>
    <w:qFormat/>
    <w:rPr>
      <w:rFonts w:ascii="Times New Roman" w:eastAsia="黑体" w:hAnsi="Times New Roman" w:cs="黑体"/>
      <w:kern w:val="0"/>
      <w:szCs w:val="21"/>
    </w:rPr>
  </w:style>
  <w:style w:type="character" w:customStyle="1" w:styleId="font11">
    <w:name w:val="font11"/>
    <w:basedOn w:val="a6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HTML0">
    <w:name w:val="HTML 预设格式 字符"/>
    <w:basedOn w:val="a6"/>
    <w:link w:val="HTML"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pt.cfsa.net.cn:8086/javascript:void(0);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ppt.cfsa.net.cn:8086/javascript:void(0);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ppt.cfsa.net.cn:8086/javascript:void(0)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C411FA1-C665-4CEF-A46E-03F3344C7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文凯 李</cp:lastModifiedBy>
  <cp:revision>39</cp:revision>
  <dcterms:created xsi:type="dcterms:W3CDTF">2017-06-05T06:59:00Z</dcterms:created>
  <dcterms:modified xsi:type="dcterms:W3CDTF">2022-03-23T09:22:00Z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856F06179FC943519AC3DDFD412052ED</vt:lpwstr>
  </property>
</Properties>
</file>