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</w:rPr>
      </w:pPr>
      <w:bookmarkStart w:id="0" w:name="_Toc384593522"/>
      <w:bookmarkStart w:id="1" w:name="_Toc421543628"/>
      <w:r>
        <w:rPr>
          <w:rFonts w:hint="eastAsia"/>
          <w:highlight w:val="none"/>
        </w:rPr>
        <w:t>《</w:t>
      </w:r>
      <w:r>
        <w:rPr>
          <w:rFonts w:hint="eastAsia"/>
          <w:highlight w:val="none"/>
          <w:lang w:val="en-US" w:eastAsia="zh-CN"/>
        </w:rPr>
        <w:t>营养代餐</w:t>
      </w:r>
      <w:r>
        <w:rPr>
          <w:rFonts w:hint="eastAsia"/>
          <w:highlight w:val="none"/>
        </w:rPr>
        <w:t>》</w:t>
      </w:r>
      <w:r>
        <w:rPr>
          <w:rFonts w:hint="eastAsia" w:ascii="宋体" w:hAnsi="宋体"/>
          <w:highlight w:val="none"/>
        </w:rPr>
        <w:t>编制说</w:t>
      </w:r>
      <w:r>
        <w:rPr>
          <w:rFonts w:hint="eastAsia" w:ascii="宋体" w:hAnsi="宋体"/>
        </w:rPr>
        <w:t>明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征求意见稿</w:t>
      </w:r>
      <w:r>
        <w:rPr>
          <w:rFonts w:hint="eastAsia" w:ascii="宋体" w:hAnsi="宋体"/>
          <w:lang w:eastAsia="zh-CN"/>
        </w:rPr>
        <w:t>）</w:t>
      </w:r>
    </w:p>
    <w:bookmarkEnd w:id="0"/>
    <w:bookmarkEnd w:id="1"/>
    <w:p>
      <w:pPr>
        <w:spacing w:before="312" w:beforeLines="100" w:after="124" w:afterLines="40" w:line="360" w:lineRule="auto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一、工作简况，包括任务来源、协作单位、主要工作、团体标准主要起草人及其所承担的工作等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1.任务来源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营养代餐，又名代餐食品，简称代餐，或替餐，顾名思义，就是取代部分或全部正餐的食物，常见的代餐形式有代餐粉、代餐棒、代餐奶昔、代餐饼干，以及代餐粥，等等，不一而足。代餐除了能够快速、便捷地为人体提供大量的各种营养物质外，还具有高纤维、低热量、易饱腹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2017年《中国肥胖预防与控制蓝皮书》将代餐列为健康、有效的减肥方式之一，其中仅代餐粉一种，其市场规模发展就十分迅猛，年均复合增长率近26%，预计2023年中国代餐粉市场规模将达到180亿元。艾媒咨询《2021年一季度中国代餐行业发展及市场调研分析报告》中显示，2017-2020年，中国代餐市场规模呈持续增长态势，年复合增长率为68.8%，其中2020年中国代餐市场规模达472.6亿元。欧睿国际数据，2017年中国代餐市场规模达到了571.7亿人民币，预计2022年将达到1200亿元，中国也成为全球增速最快的代餐市场。</w:t>
      </w:r>
    </w:p>
    <w:p>
      <w:pPr>
        <w:spacing w:before="312" w:beforeLines="100" w:after="124" w:afterLines="40"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在代餐市场不断扩大之际，代餐的投诉也呈现出猛增趋势。据湖北省市场监管局的数据显示，2020年湖北12315平台共接收涉及代餐的投诉45件，同比增幅为80%。投诉原因包括虚假宣传，虚标营养成分，以“假全麦”“假无糖”“假低脂低卡”的噱头欺骗消费者，产品质量不合格等。2020年7月，深圳市消费者协会抽检的10款代餐粉中，40%的样品在营养成分上检测值与标签值不符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日前北京市消协以普通消费者身份从某电商平台购买了8个品牌的代餐食品进行比较试验，发现：有4款样品的产品标识不符合强制性食品安全国家标准的要求；部分产品的核心营养素（钠）及维生素含量的标注与实测值不符。</w:t>
      </w:r>
    </w:p>
    <w:p>
      <w:pPr>
        <w:spacing w:before="312" w:beforeLines="100" w:after="124" w:afterLines="4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代餐市场鱼龙混杂，产品品质良莠不齐，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甚至出现代餐“不营养”“乱营养”的声音，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代餐行业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亟需有效的产品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标准来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加以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规范，以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解决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代餐营养均衡和配比科学等问题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，真正提高产品品质，让消费者安全放心消费</w:t>
      </w:r>
      <w: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2.协作单位</w:t>
      </w:r>
    </w:p>
    <w:p>
      <w:pPr>
        <w:spacing w:before="312" w:beforeLines="100" w:after="124" w:afterLines="4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中国保健协会食物营养与安全专业委员会、浙江中科中创功能食品有限公司、浙江贡盏科技有限公司、中食安泓（广东）健康产业有限公司、杭州华东医药五禾德融健康管理有限公司、华熙生物科技股份有限公司、上海旺旺食品集团有限公司、华北制药河北华维健康产业有限公司、江苏苏中健康产业有限公司、云康大健康产业（广州）有限公司、珠海达德大健康产业有限公司、翁源广业清怡食品科技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3.主要工作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起草阶段：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月，成立标准起草工作组。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月，搜集国内外有关标准，结合企业标准，起草标准草案。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月，按照中国食品药品企业质量安全促进会团标管理办法要求，准备立项相关材料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提出团标立项申请。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cs="Times New Roman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2022年6-8月，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标准起草工作组</w:t>
      </w:r>
      <w:r>
        <w:rPr>
          <w:rFonts w:hint="eastAsia" w:cs="Times New Roman" w:asciiTheme="minorEastAsia" w:hAnsiTheme="minorEastAsia" w:eastAsiaTheme="minorEastAsia"/>
          <w:sz w:val="24"/>
          <w:szCs w:val="24"/>
          <w:lang w:val="en-US" w:eastAsia="zh-CN"/>
        </w:rPr>
        <w:t>根据立项评审会意见修改文本，并依据文本要求进行了相关验证试验。通过验证，并经内容研讨，起草组进一步修改完善文本，而后形成征求意见稿提交协会公开征求意见。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征求意见阶段：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审查阶段：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报批阶段：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4.团体标准主要起草人及其所承担的工作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本标准主要起草人：孙莉、岳兴虎、刘晖、王硕。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承担的工作：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二、标准编制原则和确定标准主要内容的依据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1、标准编制原则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ˎ̥" w:hAnsi="ˎ̥"/>
          <w:sz w:val="24"/>
        </w:rPr>
      </w:pPr>
      <w:r>
        <w:rPr>
          <w:rFonts w:ascii="ˎ̥" w:hAnsi="ˎ̥"/>
          <w:sz w:val="24"/>
        </w:rPr>
        <w:t xml:space="preserve">    </w:t>
      </w:r>
      <w:r>
        <w:rPr>
          <w:rFonts w:hint="eastAsia" w:ascii="ˎ̥" w:hAnsi="ˎ̥"/>
          <w:sz w:val="24"/>
        </w:rPr>
        <w:t>本标准的制定符合产业发展的原则，本着先进性、科学性、合理性和可操作性的原则</w:t>
      </w:r>
      <w:r>
        <w:rPr>
          <w:rFonts w:hint="eastAsia" w:ascii="ˎ̥" w:hAnsi="ˎ̥"/>
          <w:sz w:val="24"/>
          <w:lang w:eastAsia="zh-CN"/>
        </w:rPr>
        <w:t>，</w:t>
      </w:r>
      <w:r>
        <w:rPr>
          <w:rFonts w:hint="eastAsia" w:ascii="ˎ̥" w:hAnsi="ˎ̥"/>
          <w:sz w:val="24"/>
        </w:rPr>
        <w:t>以及标准的目标、统一性、协调性、适用性、一致性和规范性原则来进行本标准的制定工作。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ˎ̥" w:hAnsi="ˎ̥"/>
          <w:sz w:val="24"/>
        </w:rPr>
      </w:pPr>
      <w:r>
        <w:rPr>
          <w:rFonts w:hint="eastAsia" w:ascii="ˎ̥" w:hAnsi="ˎ̥"/>
          <w:sz w:val="24"/>
        </w:rPr>
        <w:t>本标准起草过程中，主要按GB/T 1.1</w:t>
      </w:r>
      <w:r>
        <w:rPr>
          <w:rFonts w:hint="eastAsia"/>
        </w:rPr>
        <w:t>－</w:t>
      </w:r>
      <w:r>
        <w:rPr>
          <w:rFonts w:hint="eastAsia" w:ascii="ˎ̥" w:hAnsi="ˎ̥"/>
          <w:sz w:val="24"/>
        </w:rPr>
        <w:t xml:space="preserve">2020《标准化工作导则 </w:t>
      </w:r>
      <w:r>
        <w:rPr>
          <w:rFonts w:hint="eastAsia" w:ascii="ˎ̥" w:hAnsi="ˎ̥"/>
          <w:sz w:val="24"/>
          <w:lang w:val="en-US" w:eastAsia="zh-CN"/>
        </w:rPr>
        <w:t xml:space="preserve"> </w:t>
      </w:r>
      <w:r>
        <w:rPr>
          <w:rFonts w:hint="eastAsia" w:ascii="ˎ̥" w:hAnsi="ˎ̥"/>
          <w:sz w:val="24"/>
        </w:rPr>
        <w:t>第1部分：标准化文件的结构和起草规则》进行编写。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ˎ̥" w:hAnsi="ˎ̥"/>
          <w:sz w:val="24"/>
        </w:rPr>
      </w:pPr>
      <w:r>
        <w:rPr>
          <w:rFonts w:hint="eastAsia" w:ascii="ˎ̥" w:hAnsi="ˎ̥"/>
          <w:sz w:val="24"/>
        </w:rPr>
        <w:t>本标准制定过程中，引用或参考了以下标准或文件：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191  包装储运图示标志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2760  食品安全国家标准  食品添加剂使用标准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2761  食品安全国家标准  食品中真菌毒素限量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2762  食品安全国家标准  食品中污染物限量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4806.1  食品安全国家标准  食品接触材料及制品通用安全要求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5009.5  食品安全国家标准  食品中蛋白质的测定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5009.14  食品安全国家标准  食品中锌的测定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5009.36  食品安全国家标准  食品中氰化物的测定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5009.82  食品安全国家标准  食品中维生素A、D、E的测定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5009.84  食品安全国家标准  食品中维生素B1的测定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5009.85  食品安全国家标准  食品中维生素B2的测定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5009.86  食品安全国家标准  食品中抗坏血酸的测定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5009.87  食品安全国家标准  食品中磷的测定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5009.88  食品安全国家标准  食品中膳食纤维的测定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5009.89  食品安全国家标准  食品中烟酸和烟酰胺的测定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5009.90  食品安全国家标准  食品中铁的测定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5009.91  食品安全国家标准  食品中钾、钠的测定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5009.92  食品安全国家标准  食品中钙的测定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5009.154  食品安全国家标准  食品中维生素B6的测定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5009.168  食品安全国家标准  食品中脂肪酸的测定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5009.211  食品安全国家标准  食品中叶酸的测定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5009.241  食品安全国家标准  食品中镁的测定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5413.14  食品安全国家标准  婴幼儿食品和乳品中维生素B12的测定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GB 7099  食品安全国家标准  糕点、面包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7101  食品安全国家标准  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7718  食品安全国家标准  预包装食品标签通则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GB/T 9174  一般货物运输包装通用技术条件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13432  食品安全国家标准  预包装特殊膳食用食品标签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14880  食品安全国家标准  食品营养强化剂使用标准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14881  食品安全国家标准  食品生产通用卫生规范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GB 19640  食品安全国家标准  冲调谷物制品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23350  限制商品过度包装要求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28050  食品安全国家标准  预包装食品营养标签通则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28404  食品安全国家标准  保健食品中α-亚麻酸、二十碳五烯酸、二十二碳五烯酸和二十二碳六烯酸的测定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GB 29921  食品安全国家标准  预包装食品中致病菌限量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《定量包装商品计量监督管理办法》（国家质量监督检验检疫总局令第75号）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JJF 1070  定</w:t>
      </w:r>
      <w:r>
        <w:rPr>
          <w:rFonts w:hint="default"/>
          <w:sz w:val="24"/>
          <w:lang w:val="en-US" w:eastAsia="zh-CN"/>
        </w:rPr>
        <w:t>量包装商品净含量计量检验规则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2、确定标准主要内容的依据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本文件规定了营养代餐的原料要求、生产要求、技术要求，描述了相应的测试方法，规定了检验规则、标签、包装、运输和贮存的内容，并给出了便于技术规定的产品分类。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（1）产品分类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根据产品特性对产品进行分类，具体是：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bookmarkStart w:id="2" w:name="_Toc29780"/>
      <w:r>
        <w:rPr>
          <w:rFonts w:hint="eastAsia"/>
          <w:sz w:val="24"/>
          <w:lang w:val="en-US" w:eastAsia="zh-CN"/>
        </w:rPr>
        <w:t>按营养代替程度，分为：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——营养代餐：能代替一顿正餐；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——部分营养代餐：能部分代替一顿正餐。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>——其他。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bookmarkStart w:id="3" w:name="_Toc20583"/>
      <w:r>
        <w:rPr>
          <w:rFonts w:hint="eastAsia"/>
          <w:sz w:val="24"/>
          <w:lang w:val="en-US" w:eastAsia="zh-CN"/>
        </w:rPr>
        <w:t>按产品形态，分为：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——固态，如代餐粉、代餐棒、代餐饼干、代餐糕点；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——半固态，如代餐粥；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——液态，如代餐奶昔；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>——其他。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（2）原料要求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营养代餐中所用原料应符合相应国家、行业、地方标准及有关规定。不应使用非食品用化学物质和其他可能危害人体健康的物质。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（3）生产要求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营养代餐生产应符合GB 14881</w:t>
      </w: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《</w:t>
      </w:r>
      <w:r>
        <w:rPr>
          <w:rFonts w:hint="eastAsia"/>
          <w:sz w:val="24"/>
          <w:lang w:val="en-US" w:eastAsia="zh-CN"/>
        </w:rPr>
        <w:t>食品安全国家标准  食品生产通用卫生规范</w:t>
      </w:r>
      <w:r>
        <w:rPr>
          <w:rFonts w:hint="eastAsia" w:cs="Times New Roman"/>
          <w:kern w:val="2"/>
          <w:sz w:val="24"/>
          <w:szCs w:val="22"/>
          <w:lang w:val="en-US" w:eastAsia="zh-CN" w:bidi="ar-SA"/>
        </w:rPr>
        <w:t>》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及其他相关生产规范标准的规定。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营养代餐应符合相关适用品类的国家、行业或地方产品标准要求。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感官质量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根据产品特性，感官要求如表1所示。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表1感官要求</w:t>
      </w:r>
    </w:p>
    <w:tbl>
      <w:tblPr>
        <w:tblStyle w:val="11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977"/>
        <w:gridCol w:w="3096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164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1977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3096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  <w:tc>
          <w:tcPr>
            <w:tcW w:w="2168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色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泽</w:t>
            </w:r>
          </w:p>
        </w:tc>
        <w:tc>
          <w:tcPr>
            <w:tcW w:w="3096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符合相应产品特性</w:t>
            </w:r>
          </w:p>
        </w:tc>
        <w:tc>
          <w:tcPr>
            <w:tcW w:w="216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pStyle w:val="17"/>
              <w:ind w:firstLine="180" w:firstLineChars="10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取适量样品，目测，品其滋味，嗅其气味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滋味、</w:t>
            </w:r>
            <w:r>
              <w:rPr>
                <w:rFonts w:hint="eastAsia" w:cs="Times New Roman"/>
                <w:sz w:val="18"/>
                <w:szCs w:val="18"/>
              </w:rPr>
              <w:t>气味</w:t>
            </w: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符合相应产品特性，无异味，无霉变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组织形态</w:t>
            </w: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符合相应产品特性，粉状产品无结块，液态产品均匀</w:t>
            </w:r>
          </w:p>
        </w:tc>
        <w:tc>
          <w:tcPr>
            <w:tcW w:w="2168" w:type="dxa"/>
            <w:vMerge w:val="continue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杂  质</w:t>
            </w:r>
          </w:p>
        </w:tc>
        <w:tc>
          <w:tcPr>
            <w:tcW w:w="3096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无正常视力可见外来杂质</w:t>
            </w:r>
          </w:p>
        </w:tc>
        <w:tc>
          <w:tcPr>
            <w:tcW w:w="216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3）营养素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参考中国营养学会T/CNSS 002-2019《代餐食品》，同时：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——在宏量营养素脂肪中，增加了</w:t>
      </w:r>
      <w:r>
        <w:rPr>
          <w:rFonts w:hint="default"/>
          <w:sz w:val="24"/>
          <w:lang w:val="en-US" w:eastAsia="zh-CN"/>
        </w:rPr>
        <w:t>n-3</w:t>
      </w:r>
      <w:r>
        <w:rPr>
          <w:rFonts w:hint="eastAsia"/>
          <w:sz w:val="24"/>
          <w:lang w:val="en-US" w:eastAsia="zh-CN"/>
        </w:rPr>
        <w:t>多不饱和脂肪酸、α</w:t>
      </w:r>
      <w:r>
        <w:rPr>
          <w:rFonts w:hint="default"/>
          <w:sz w:val="24"/>
          <w:lang w:val="en-US" w:eastAsia="zh-CN"/>
        </w:rPr>
        <w:t>-</w:t>
      </w:r>
      <w:r>
        <w:rPr>
          <w:rFonts w:hint="eastAsia"/>
          <w:sz w:val="24"/>
          <w:lang w:val="en-US" w:eastAsia="zh-CN"/>
        </w:rPr>
        <w:t>亚麻酸的规定。因为在新版 GB 28050 《食品安全国家标准  预包装食品营养标签通则》（征求意见稿）中增加了</w:t>
      </w:r>
      <w:r>
        <w:rPr>
          <w:rFonts w:hint="default"/>
          <w:sz w:val="24"/>
          <w:lang w:val="en-US" w:eastAsia="zh-CN"/>
        </w:rPr>
        <w:t>n-3</w:t>
      </w:r>
      <w:r>
        <w:rPr>
          <w:rFonts w:hint="eastAsia"/>
          <w:sz w:val="24"/>
          <w:lang w:val="en-US" w:eastAsia="zh-CN"/>
        </w:rPr>
        <w:t>多不饱和脂肪酸、α</w:t>
      </w:r>
      <w:r>
        <w:rPr>
          <w:rFonts w:hint="default"/>
          <w:sz w:val="24"/>
          <w:lang w:val="en-US" w:eastAsia="zh-CN"/>
        </w:rPr>
        <w:t>-</w:t>
      </w:r>
      <w:r>
        <w:rPr>
          <w:rFonts w:hint="eastAsia"/>
          <w:sz w:val="24"/>
          <w:lang w:val="en-US" w:eastAsia="zh-CN"/>
        </w:rPr>
        <w:t>亚麻酸的规定。同时在能量和营养成分功能声称标准用语中增加了“α</w:t>
      </w:r>
      <w:r>
        <w:rPr>
          <w:rFonts w:hint="default"/>
          <w:sz w:val="24"/>
          <w:lang w:val="en-US" w:eastAsia="zh-CN"/>
        </w:rPr>
        <w:t>-</w:t>
      </w:r>
      <w:r>
        <w:rPr>
          <w:rFonts w:hint="eastAsia"/>
          <w:sz w:val="24"/>
          <w:lang w:val="en-US" w:eastAsia="zh-CN"/>
        </w:rPr>
        <w:t>亚麻酸是一种必需脂肪酸”的声称。中国营养学会《中国居民膳食营养素参考摄入量 2013 版》中规定，</w:t>
      </w:r>
      <w:r>
        <w:rPr>
          <w:rFonts w:hint="default"/>
          <w:sz w:val="24"/>
          <w:lang w:val="en-US" w:eastAsia="zh-CN"/>
        </w:rPr>
        <w:t>18-49</w:t>
      </w:r>
      <w:r>
        <w:rPr>
          <w:rFonts w:hint="eastAsia"/>
          <w:sz w:val="24"/>
          <w:lang w:val="en-US" w:eastAsia="zh-CN"/>
        </w:rPr>
        <w:t>岁成年居民膳食营养素参考摄入量为：</w:t>
      </w:r>
      <w:r>
        <w:rPr>
          <w:rFonts w:hint="default"/>
          <w:sz w:val="24"/>
          <w:lang w:val="en-US" w:eastAsia="zh-CN"/>
        </w:rPr>
        <w:t xml:space="preserve">n-3 </w:t>
      </w:r>
      <w:r>
        <w:rPr>
          <w:rFonts w:hint="eastAsia"/>
          <w:sz w:val="24"/>
          <w:lang w:val="en-US" w:eastAsia="zh-CN"/>
        </w:rPr>
        <w:t>多不饱和脂肪酸占总能量的</w:t>
      </w:r>
      <w:r>
        <w:rPr>
          <w:rFonts w:hint="default"/>
          <w:sz w:val="24"/>
          <w:lang w:val="en-US" w:eastAsia="zh-CN"/>
        </w:rPr>
        <w:t>0.5</w:t>
      </w:r>
      <w:r>
        <w:rPr>
          <w:rFonts w:hint="eastAsia"/>
          <w:sz w:val="24"/>
          <w:lang w:val="en-US" w:eastAsia="zh-CN"/>
        </w:rPr>
        <w:t>%～</w:t>
      </w:r>
      <w:r>
        <w:rPr>
          <w:rFonts w:hint="default"/>
          <w:sz w:val="24"/>
          <w:lang w:val="en-US" w:eastAsia="zh-CN"/>
        </w:rPr>
        <w:t>2.0%</w:t>
      </w:r>
      <w:r>
        <w:rPr>
          <w:rFonts w:hint="eastAsia"/>
          <w:sz w:val="24"/>
          <w:lang w:val="en-US" w:eastAsia="zh-CN"/>
        </w:rPr>
        <w:t>。中国营养学会《中国营养科学全书 第2版》（上册）第一卷第四章规定：α-亚麻酸供能比占0.5%～1%。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——在宏量营养素蛋白质中，增加大豆分离蛋白为参考蛋白。因为在实际使用中只使用牛奶蛋白或鸡蛋蛋白做为参考蛋白，对素食主义者会造成一定的困扰。大豆分离蛋白的蛋白质评分与牛奶蛋白、鸡蛋蛋白相近，也是一种优质蛋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表2 宏量营养素</w:t>
      </w:r>
    </w:p>
    <w:tbl>
      <w:tblPr>
        <w:tblStyle w:val="11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48"/>
        <w:gridCol w:w="2052"/>
        <w:gridCol w:w="2053"/>
        <w:gridCol w:w="25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847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41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4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2053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部分营养代餐</w:t>
            </w:r>
          </w:p>
        </w:tc>
        <w:tc>
          <w:tcPr>
            <w:tcW w:w="250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能  量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835kJ～1670kJ</w:t>
            </w:r>
          </w:p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（200kcal～400kcal）</w:t>
            </w:r>
          </w:p>
        </w:tc>
        <w:tc>
          <w:tcPr>
            <w:tcW w:w="205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334kJ～835kJ</w:t>
            </w:r>
          </w:p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（80kcal～200kcal）</w:t>
            </w:r>
          </w:p>
        </w:tc>
        <w:tc>
          <w:tcPr>
            <w:tcW w:w="250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蛋白质、脂肪、碳水化合物含量乘以相应能量系数（17kJ/g、37kJ/g、17kJ/g），所得之和为kJ，再除以4.184为kcal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蛋白质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5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占总能量25%～50%；</w:t>
            </w:r>
          </w:p>
          <w:p>
            <w:pPr>
              <w:pStyle w:val="17"/>
              <w:numPr>
                <w:ilvl w:val="0"/>
                <w:numId w:val="5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以牛奶蛋白或鸡蛋蛋白或大豆分离蛋白为参考蛋白，PDCAAS</w:t>
            </w: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或DIAAS</w:t>
            </w: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不低于80%</w:t>
            </w:r>
          </w:p>
        </w:tc>
        <w:tc>
          <w:tcPr>
            <w:tcW w:w="20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6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占总能量25%～50%且不少于8g；</w:t>
            </w:r>
          </w:p>
          <w:p>
            <w:pPr>
              <w:pStyle w:val="17"/>
              <w:numPr>
                <w:ilvl w:val="0"/>
                <w:numId w:val="6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以牛奶蛋白或鸡蛋蛋白或大豆分离蛋白为参考蛋白，PDCAAS或DIAAS不低于80%</w:t>
            </w:r>
          </w:p>
        </w:tc>
        <w:tc>
          <w:tcPr>
            <w:tcW w:w="25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4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脂  肪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不超过总能量30%；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来源于饱和脂肪的能量不超过总能量10%；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不得使用氢化油脂；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亚油酸供能比不低于3.0%；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α-亚麻酸供能比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0.5%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1%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n-3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多不饱和脂肪酸占总能量的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0.5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2.0%</w:t>
            </w:r>
          </w:p>
        </w:tc>
        <w:tc>
          <w:tcPr>
            <w:tcW w:w="205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numPr>
                <w:ilvl w:val="0"/>
                <w:numId w:val="8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不超过总能量30%；</w:t>
            </w:r>
          </w:p>
          <w:p>
            <w:pPr>
              <w:pStyle w:val="17"/>
              <w:numPr>
                <w:ilvl w:val="0"/>
                <w:numId w:val="8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来源于饱和脂肪的能量不超过总能量10%；</w:t>
            </w:r>
          </w:p>
          <w:p>
            <w:pPr>
              <w:pStyle w:val="17"/>
              <w:numPr>
                <w:ilvl w:val="0"/>
                <w:numId w:val="8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不得使用氢化油脂；</w:t>
            </w:r>
          </w:p>
          <w:p>
            <w:pPr>
              <w:pStyle w:val="17"/>
              <w:numPr>
                <w:ilvl w:val="0"/>
                <w:numId w:val="7"/>
              </w:numPr>
              <w:ind w:left="306" w:hanging="306" w:firstLineChars="0"/>
              <w:jc w:val="left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α-亚麻酸供能比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0.5%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1%</w:t>
            </w:r>
          </w:p>
          <w:p>
            <w:pPr>
              <w:pStyle w:val="17"/>
              <w:numPr>
                <w:ilvl w:val="0"/>
                <w:numId w:val="8"/>
              </w:numPr>
              <w:ind w:left="306" w:hanging="306" w:firstLineChars="0"/>
              <w:jc w:val="left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n-3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多不饱和脂肪酸占总能量的 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0.5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%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～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2.0%</w:t>
            </w:r>
          </w:p>
        </w:tc>
        <w:tc>
          <w:tcPr>
            <w:tcW w:w="2505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5009.168、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auto"/>
              </w:rPr>
              <w:t>GB 28404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0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superscript"/>
                <w:lang w:val="en-US" w:eastAsia="zh-CN" w:bidi="ar-SA"/>
              </w:rPr>
              <w:t xml:space="preserve">a 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PDCAAS（Protein Digestibility-Corrected Amino Acid Score），是经消化率校正的氨基酸评分，该评分同时考虑了食物蛋白质的必需氨基酸组成；食物蛋白质的消化率；食物蛋白质能提供人体必需氨基酸需要量的能力。PDCAAS得分越接近1，说明该蛋白质营养价值越高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DIAAS（Digestible Indispensable Amino Acid Score）是在PDCAAS基础上的改进，因为PDCAAS并未考虑到例如植酸等抗营养因子的存在会影响蛋白质的吸收。DIAAS得分越高，代表其营养价值越高（DIAAS没有得分最高为1的限制）。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——适当提高必需成分膳食纤维的上限值，比如对于富含膳食纤维的产品如魔芋粉可将指标上限提到至60 g以上。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——增加必需成分和/或可选成分中叶酸、维生素C、烟酸、钙、镁、维生素B1、维生素D等的ULs值（每日可耐受最高摄入量），数据参考《中国居民膳食营养素参考摄入量DRIs》，按一日三餐平均分配。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337810" cy="3093720"/>
            <wp:effectExtent l="0" t="0" r="8890" b="5080"/>
            <wp:docPr id="2" name="图片 2" descr="1653464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46424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表3 必需成分</w:t>
      </w:r>
    </w:p>
    <w:tbl>
      <w:tblPr>
        <w:tblStyle w:val="11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87"/>
        <w:gridCol w:w="1382"/>
        <w:gridCol w:w="1504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164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2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以每餐提供量计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8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1504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部分营养代餐</w:t>
            </w: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226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膳食纤维</w:t>
            </w: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/g</w:t>
            </w:r>
          </w:p>
        </w:tc>
        <w:tc>
          <w:tcPr>
            <w:tcW w:w="138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5～12</w:t>
            </w:r>
          </w:p>
        </w:tc>
        <w:tc>
          <w:tcPr>
            <w:tcW w:w="150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2～12</w:t>
            </w:r>
          </w:p>
        </w:tc>
        <w:tc>
          <w:tcPr>
            <w:tcW w:w="226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维生素A/μg RE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260～580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cs="Times New Roman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0.4～16.7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0.2～16.7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cs="Times New Roman"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≥0.2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维生素C/mg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30～333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烟酸/mgNE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4.6～11.7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叶酸/μg DFE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110～333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5009.211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钙/mg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260～667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80～667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镁/mg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50～233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5009.241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铁/mg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5～9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2.5～9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8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锌/mg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3～7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1.5～7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8405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both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维生素A、维生素C、烟酸、叶酸、镁不是部分营养代餐的必需成分。</w:t>
            </w:r>
          </w:p>
          <w:p>
            <w:pPr>
              <w:pStyle w:val="17"/>
              <w:ind w:firstLine="0" w:firstLineChars="0"/>
              <w:jc w:val="both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cs="Times New Roman"/>
                <w:sz w:val="18"/>
                <w:szCs w:val="18"/>
                <w:vertAlign w:val="baseline"/>
                <w:lang w:val="en-US" w:eastAsia="zh-CN"/>
              </w:rPr>
              <w:t>对于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富含膳食纤维的产品如魔芋粉可将指标提到至60 g以上。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表4 可选成分</w:t>
      </w:r>
    </w:p>
    <w:tbl>
      <w:tblPr>
        <w:tblStyle w:val="11"/>
        <w:tblW w:w="8405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78"/>
        <w:gridCol w:w="1403"/>
        <w:gridCol w:w="1371"/>
        <w:gridCol w:w="2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03" w:hRule="atLeast"/>
        </w:trPr>
        <w:tc>
          <w:tcPr>
            <w:tcW w:w="1164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序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项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目</w:t>
            </w:r>
          </w:p>
        </w:tc>
        <w:tc>
          <w:tcPr>
            <w:tcW w:w="27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要</w:t>
            </w:r>
            <w:r>
              <w:rPr>
                <w:rFonts w:hint="eastAsia"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>求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以每餐提供量计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测试方法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16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营养代餐</w:t>
            </w:r>
          </w:p>
        </w:tc>
        <w:tc>
          <w:tcPr>
            <w:tcW w:w="1371" w:type="dxa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部分营养代餐</w:t>
            </w:r>
          </w:p>
        </w:tc>
        <w:tc>
          <w:tcPr>
            <w:tcW w:w="23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维生素A/μg RE</w:t>
            </w:r>
          </w:p>
        </w:tc>
        <w:tc>
          <w:tcPr>
            <w:tcW w:w="1403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7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120～400</w:t>
            </w:r>
          </w:p>
        </w:tc>
        <w:tc>
          <w:tcPr>
            <w:tcW w:w="238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维生素D/μg 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0.5～6.7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0.25～6.67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维生素E/（mg α-TE）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≥4.5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≥2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叶酸/μg DFE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50～333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5009.211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cs="Times New Roman"/>
                <w:sz w:val="18"/>
                <w:szCs w:val="18"/>
                <w:vertAlign w:val="subscript"/>
                <w:lang w:val="en-US" w:eastAsia="zh-CN"/>
              </w:rPr>
              <w:t>6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≥0.2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5009.154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维生素B</w:t>
            </w:r>
            <w:r>
              <w:rPr>
                <w:rFonts w:hint="eastAsia" w:cs="Times New Roman"/>
                <w:sz w:val="18"/>
                <w:szCs w:val="18"/>
                <w:vertAlign w:val="subscript"/>
                <w:lang w:val="en-US" w:eastAsia="zh-CN"/>
              </w:rPr>
              <w:t>12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/μg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≥0.8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≥0.4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5413.14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维生素C/mg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15～333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烟酸/mgNE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2.3～11.7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镁/mg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20～233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5009.241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钾/mg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≥100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40～1200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磷/mg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≤420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≤420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</w:trPr>
        <w:tc>
          <w:tcPr>
            <w:tcW w:w="116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7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钠/mg</w:t>
            </w:r>
          </w:p>
        </w:tc>
        <w:tc>
          <w:tcPr>
            <w:tcW w:w="140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≤1000</w:t>
            </w:r>
          </w:p>
        </w:tc>
        <w:tc>
          <w:tcPr>
            <w:tcW w:w="137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≤1000</w:t>
            </w:r>
          </w:p>
        </w:tc>
        <w:tc>
          <w:tcPr>
            <w:tcW w:w="238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GB 5009.91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4）</w:t>
      </w:r>
      <w:bookmarkStart w:id="4" w:name="_Toc24273"/>
      <w:r>
        <w:rPr>
          <w:rFonts w:hint="eastAsia"/>
          <w:sz w:val="24"/>
          <w:lang w:val="en-US" w:eastAsia="zh-CN"/>
        </w:rPr>
        <w:t>安全指标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按相关食品安全国家标准执行，具体是：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污染物限量应符合GB 2762《食品安全国家标准 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真菌毒素限量应符合GB 2761《食品安全国家标准 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致病菌限量应符合GB 29921《食品安全国家标准 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食品添加剂的使用应符合GB 2760《食品安全国家标准 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lang w:val="en-US" w:eastAsia="zh-CN"/>
        </w:rPr>
        <w:t>营养强化剂的使用应符合GB 14880《食品安全国家标准  食品营养强化剂使用标准》。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微生物限量是生产环境卫生情况的体现，在大多数国家标准中也都有相关规定，具体规定是：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——以谷物或其他淀粉类原料为主的冲调谷物制品，如麦片、芝麻糊、莲子羹、藕粉、杂豆糊、粥等，按 GB 19640《食品安全国家标准  冲调谷物制品》执行；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——代餐棒、代餐饼干、代餐糕点等糕点、面包类产品按GB 7099《食品安全国家标准  糕点、面包》执行；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——其他按GB 7101《食品安全国家标准  饮料》执行。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卫生指标：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——在 GB 7101-2015《食品安全国家标准 饮料》中 </w:t>
      </w:r>
      <w:r>
        <w:rPr>
          <w:rFonts w:hint="default"/>
          <w:sz w:val="24"/>
          <w:lang w:val="en-US" w:eastAsia="zh-CN"/>
        </w:rPr>
        <w:t xml:space="preserve">3.4 </w:t>
      </w:r>
      <w:r>
        <w:rPr>
          <w:rFonts w:hint="eastAsia"/>
          <w:sz w:val="24"/>
          <w:lang w:val="en-US" w:eastAsia="zh-CN"/>
        </w:rPr>
        <w:t xml:space="preserve">理化指标中规定以杏仁为原料的饮料需要检测氰化物，氰化物（以 </w:t>
      </w:r>
      <w:r>
        <w:rPr>
          <w:rFonts w:hint="default"/>
          <w:sz w:val="24"/>
          <w:lang w:val="en-US" w:eastAsia="zh-CN"/>
        </w:rPr>
        <w:t xml:space="preserve">HCN </w:t>
      </w:r>
      <w:r>
        <w:rPr>
          <w:rFonts w:hint="eastAsia"/>
          <w:sz w:val="24"/>
          <w:lang w:val="en-US" w:eastAsia="zh-CN"/>
        </w:rPr>
        <w:t>计）≤</w:t>
      </w:r>
      <w:r>
        <w:rPr>
          <w:rFonts w:hint="default"/>
          <w:sz w:val="24"/>
          <w:lang w:val="en-US" w:eastAsia="zh-CN"/>
        </w:rPr>
        <w:t>0.05mg/L</w:t>
      </w:r>
      <w:r>
        <w:rPr>
          <w:rFonts w:hint="eastAsia"/>
          <w:sz w:val="24"/>
          <w:lang w:val="en-US" w:eastAsia="zh-CN"/>
        </w:rPr>
        <w:t xml:space="preserve">。检测方法为 </w:t>
      </w:r>
      <w:r>
        <w:rPr>
          <w:rFonts w:hint="default"/>
          <w:sz w:val="24"/>
          <w:lang w:val="en-US" w:eastAsia="zh-CN"/>
        </w:rPr>
        <w:t>GB/T 5009.36</w:t>
      </w:r>
      <w:r>
        <w:rPr>
          <w:rFonts w:hint="eastAsia"/>
          <w:sz w:val="24"/>
          <w:lang w:val="en-US" w:eastAsia="zh-CN"/>
        </w:rPr>
        <w:t xml:space="preserve">《食品安全国家标准  食品中氰化物的测定》。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——在 </w:t>
      </w:r>
      <w:r>
        <w:rPr>
          <w:rFonts w:hint="default"/>
          <w:sz w:val="24"/>
          <w:lang w:val="en-US" w:eastAsia="zh-CN"/>
        </w:rPr>
        <w:t>NY/T 875-2012</w:t>
      </w:r>
      <w:r>
        <w:rPr>
          <w:rFonts w:hint="eastAsia"/>
          <w:sz w:val="24"/>
          <w:lang w:val="en-US" w:eastAsia="zh-CN"/>
        </w:rPr>
        <w:t xml:space="preserve">《食用木薯淀粉》中 </w:t>
      </w:r>
      <w:r>
        <w:rPr>
          <w:rFonts w:hint="default"/>
          <w:sz w:val="24"/>
          <w:lang w:val="en-US" w:eastAsia="zh-CN"/>
        </w:rPr>
        <w:t xml:space="preserve">3.3 </w:t>
      </w:r>
      <w:r>
        <w:rPr>
          <w:rFonts w:hint="eastAsia"/>
          <w:sz w:val="24"/>
          <w:lang w:val="en-US" w:eastAsia="zh-CN"/>
        </w:rPr>
        <w:t>卫生指标中规定，氢氰酸≤</w:t>
      </w:r>
      <w:r>
        <w:rPr>
          <w:rFonts w:hint="default"/>
          <w:sz w:val="24"/>
          <w:lang w:val="en-US" w:eastAsia="zh-CN"/>
        </w:rPr>
        <w:t>10mg/kg</w:t>
      </w:r>
      <w:r>
        <w:rPr>
          <w:rFonts w:hint="eastAsia"/>
          <w:sz w:val="24"/>
          <w:lang w:val="en-US" w:eastAsia="zh-CN"/>
        </w:rPr>
        <w:t xml:space="preserve">，检测方法为 </w:t>
      </w:r>
      <w:r>
        <w:rPr>
          <w:rFonts w:hint="default"/>
          <w:sz w:val="24"/>
          <w:lang w:val="en-US" w:eastAsia="zh-CN"/>
        </w:rPr>
        <w:t>GB/T 5009.36</w:t>
      </w:r>
      <w:r>
        <w:rPr>
          <w:rFonts w:hint="eastAsia"/>
          <w:sz w:val="24"/>
          <w:lang w:val="en-US" w:eastAsia="zh-CN"/>
        </w:rPr>
        <w:t>《食品安全国家标准  食品中氰化物的测定》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三、与现行法律法规、强制性标准和其他有关标准的关系，采用国际标准的程度及水平简要说明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本标准与现行法律法规、强制性标准和其他有关标准协调一致。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本标准制定过程中未查询到国际标准。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四、重大分歧意见的处理结果和依据。</w:t>
      </w:r>
    </w:p>
    <w:p>
      <w:pPr>
        <w:snapToGrid w:val="0"/>
        <w:spacing w:before="124" w:beforeLines="40" w:after="124" w:afterLines="4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本标准制定过程中无重大分歧意见。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五、贯彻促进会标准的要求和措施建议（包括组织措施、技术措施、过渡办法等内容）</w:t>
      </w:r>
    </w:p>
    <w:p>
      <w:pPr>
        <w:snapToGrid w:val="0"/>
        <w:spacing w:before="124" w:beforeLines="40" w:after="124" w:afterLines="40"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建议发布即实施。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六、其他应予说明的事项。</w:t>
      </w:r>
    </w:p>
    <w:p>
      <w:pPr>
        <w:pStyle w:val="19"/>
        <w:spacing w:line="360" w:lineRule="auto"/>
        <w:ind w:firstLine="480"/>
        <w:rPr>
          <w:rFonts w:hint="eastAsia" w:ascii="ˎ̥" w:hAnsi="ˎ̥" w:eastAsia="宋体"/>
          <w:sz w:val="24"/>
          <w:lang w:val="en-US" w:eastAsia="zh-CN"/>
        </w:rPr>
      </w:pPr>
      <w:r>
        <w:rPr>
          <w:rFonts w:hint="eastAsia" w:ascii="ˎ̥" w:hAnsi="ˎ̥"/>
          <w:sz w:val="24"/>
          <w:lang w:val="en-US" w:eastAsia="zh-CN"/>
        </w:rPr>
        <w:t>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05621605"/>
                  <w:docPartObj>
                    <w:docPartGallery w:val="autotext"/>
                  </w:docPartObj>
                </w:sdtPr>
                <w:sdtContent>
                  <w:sdt>
                    <w:sdtPr>
                      <w:id w:val="-170523852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PAGE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lang w:val="zh-CN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38F9D"/>
    <w:multiLevelType w:val="multilevel"/>
    <w:tmpl w:val="06F38F9D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1FCC038"/>
    <w:multiLevelType w:val="singleLevel"/>
    <w:tmpl w:val="21FCC038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2E32610F"/>
    <w:multiLevelType w:val="multilevel"/>
    <w:tmpl w:val="2E32610F"/>
    <w:lvl w:ilvl="0" w:tentative="0">
      <w:start w:val="1"/>
      <w:numFmt w:val="decimal"/>
      <w:pStyle w:val="40"/>
      <w:lvlText w:val="图%1 "/>
      <w:lvlJc w:val="left"/>
      <w:pPr>
        <w:ind w:left="220" w:hanging="420"/>
      </w:pPr>
      <w:rPr>
        <w:rFonts w:hint="default" w:ascii="Times New Roman" w:hAnsi="Times New Roman" w:eastAsia="黑体"/>
        <w:sz w:val="21"/>
      </w:rPr>
    </w:lvl>
    <w:lvl w:ilvl="1" w:tentative="0">
      <w:start w:val="1"/>
      <w:numFmt w:val="lowerLetter"/>
      <w:lvlText w:val="%2)"/>
      <w:lvlJc w:val="left"/>
      <w:pPr>
        <w:ind w:left="640" w:hanging="420"/>
      </w:pPr>
    </w:lvl>
    <w:lvl w:ilvl="2" w:tentative="0">
      <w:start w:val="1"/>
      <w:numFmt w:val="lowerRoman"/>
      <w:lvlText w:val="%3."/>
      <w:lvlJc w:val="right"/>
      <w:pPr>
        <w:ind w:left="1060" w:hanging="420"/>
      </w:pPr>
    </w:lvl>
    <w:lvl w:ilvl="3" w:tentative="0">
      <w:start w:val="1"/>
      <w:numFmt w:val="decimal"/>
      <w:lvlText w:val="%4."/>
      <w:lvlJc w:val="left"/>
      <w:pPr>
        <w:ind w:left="1480" w:hanging="420"/>
      </w:pPr>
    </w:lvl>
    <w:lvl w:ilvl="4" w:tentative="0">
      <w:start w:val="1"/>
      <w:numFmt w:val="lowerLetter"/>
      <w:lvlText w:val="%5)"/>
      <w:lvlJc w:val="left"/>
      <w:pPr>
        <w:ind w:left="1900" w:hanging="420"/>
      </w:pPr>
    </w:lvl>
    <w:lvl w:ilvl="5" w:tentative="0">
      <w:start w:val="1"/>
      <w:numFmt w:val="lowerRoman"/>
      <w:lvlText w:val="%6."/>
      <w:lvlJc w:val="right"/>
      <w:pPr>
        <w:ind w:left="2320" w:hanging="420"/>
      </w:pPr>
    </w:lvl>
    <w:lvl w:ilvl="6" w:tentative="0">
      <w:start w:val="1"/>
      <w:numFmt w:val="decimal"/>
      <w:lvlText w:val="%7."/>
      <w:lvlJc w:val="left"/>
      <w:pPr>
        <w:ind w:left="2740" w:hanging="420"/>
      </w:pPr>
    </w:lvl>
    <w:lvl w:ilvl="7" w:tentative="0">
      <w:start w:val="1"/>
      <w:numFmt w:val="lowerLetter"/>
      <w:lvlText w:val="%8)"/>
      <w:lvlJc w:val="left"/>
      <w:pPr>
        <w:ind w:left="3160" w:hanging="420"/>
      </w:pPr>
    </w:lvl>
    <w:lvl w:ilvl="8" w:tentative="0">
      <w:start w:val="1"/>
      <w:numFmt w:val="lowerRoman"/>
      <w:lvlText w:val="%9."/>
      <w:lvlJc w:val="right"/>
      <w:pPr>
        <w:ind w:left="3580" w:hanging="420"/>
      </w:pPr>
    </w:lvl>
  </w:abstractNum>
  <w:abstractNum w:abstractNumId="3">
    <w:nsid w:val="2F5FE4BF"/>
    <w:multiLevelType w:val="multilevel"/>
    <w:tmpl w:val="2F5FE4BF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903DE28"/>
    <w:multiLevelType w:val="multilevel"/>
    <w:tmpl w:val="3903DE28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D1C17D8"/>
    <w:multiLevelType w:val="multilevel"/>
    <w:tmpl w:val="3D1C17D8"/>
    <w:lvl w:ilvl="0" w:tentative="0">
      <w:start w:val="1"/>
      <w:numFmt w:val="decimal"/>
      <w:pStyle w:val="39"/>
      <w:lvlText w:val="表%1 "/>
      <w:lvlJc w:val="left"/>
      <w:pPr>
        <w:ind w:left="5670" w:hanging="420"/>
      </w:pPr>
      <w:rPr>
        <w:rFonts w:hint="default" w:ascii="黑体" w:hAnsi="黑体" w:eastAsia="黑体" w:cs="黑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C41824"/>
    <w:multiLevelType w:val="multilevel"/>
    <w:tmpl w:val="47C41824"/>
    <w:lvl w:ilvl="0" w:tentative="0">
      <w:start w:val="1"/>
      <w:numFmt w:val="lowerLetter"/>
      <w:suff w:val="space"/>
      <w:lvlText w:val="%1)"/>
      <w:lvlJc w:val="left"/>
      <w:pPr>
        <w:ind w:left="306" w:hanging="306"/>
      </w:pPr>
      <w:rPr>
        <w:rFonts w:hint="default" w:ascii="黑体" w:hAnsi="黑体" w:eastAsia="黑体" w:cs="等线 Ligh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32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7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8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9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30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jNjM4NjE4NDQ3MzRkMGIyMWJjYzY1YzA1MzEzOWQifQ=="/>
  </w:docVars>
  <w:rsids>
    <w:rsidRoot w:val="00980DE8"/>
    <w:rsid w:val="00096CEA"/>
    <w:rsid w:val="000E41A4"/>
    <w:rsid w:val="000F3F68"/>
    <w:rsid w:val="00131AF5"/>
    <w:rsid w:val="001E01D2"/>
    <w:rsid w:val="001E0F25"/>
    <w:rsid w:val="00275370"/>
    <w:rsid w:val="002E529D"/>
    <w:rsid w:val="00306598"/>
    <w:rsid w:val="00314089"/>
    <w:rsid w:val="00317CA2"/>
    <w:rsid w:val="003618C2"/>
    <w:rsid w:val="00363CFE"/>
    <w:rsid w:val="003B3867"/>
    <w:rsid w:val="00417C7E"/>
    <w:rsid w:val="004A2DAF"/>
    <w:rsid w:val="004A630D"/>
    <w:rsid w:val="004E4598"/>
    <w:rsid w:val="0056750E"/>
    <w:rsid w:val="00582631"/>
    <w:rsid w:val="00586D2B"/>
    <w:rsid w:val="005922F7"/>
    <w:rsid w:val="005C3B7B"/>
    <w:rsid w:val="00610310"/>
    <w:rsid w:val="006215EE"/>
    <w:rsid w:val="00661108"/>
    <w:rsid w:val="0070085F"/>
    <w:rsid w:val="007A0069"/>
    <w:rsid w:val="008319E1"/>
    <w:rsid w:val="008739CA"/>
    <w:rsid w:val="00913F25"/>
    <w:rsid w:val="0095627D"/>
    <w:rsid w:val="00980DE8"/>
    <w:rsid w:val="00A24AEA"/>
    <w:rsid w:val="00A6002B"/>
    <w:rsid w:val="00A616FE"/>
    <w:rsid w:val="00A93A9E"/>
    <w:rsid w:val="00AF6299"/>
    <w:rsid w:val="00B1226B"/>
    <w:rsid w:val="00B761C8"/>
    <w:rsid w:val="00B7691D"/>
    <w:rsid w:val="00BB0DD5"/>
    <w:rsid w:val="00CE7D88"/>
    <w:rsid w:val="00D86041"/>
    <w:rsid w:val="00D90ABC"/>
    <w:rsid w:val="00DC3647"/>
    <w:rsid w:val="00DD0BBE"/>
    <w:rsid w:val="00DD62B8"/>
    <w:rsid w:val="00E147E8"/>
    <w:rsid w:val="00E14BD6"/>
    <w:rsid w:val="00E44777"/>
    <w:rsid w:val="00F215C9"/>
    <w:rsid w:val="00F614CD"/>
    <w:rsid w:val="00F74128"/>
    <w:rsid w:val="00F80398"/>
    <w:rsid w:val="00F9141C"/>
    <w:rsid w:val="00F965D6"/>
    <w:rsid w:val="00FB3AA3"/>
    <w:rsid w:val="00FC00BB"/>
    <w:rsid w:val="00FC12B7"/>
    <w:rsid w:val="00FD7E33"/>
    <w:rsid w:val="0322279A"/>
    <w:rsid w:val="035739D3"/>
    <w:rsid w:val="04FD11EE"/>
    <w:rsid w:val="0551681E"/>
    <w:rsid w:val="05AF2364"/>
    <w:rsid w:val="0CD604FB"/>
    <w:rsid w:val="0D051A70"/>
    <w:rsid w:val="10B5717D"/>
    <w:rsid w:val="10EE1DD4"/>
    <w:rsid w:val="1134754D"/>
    <w:rsid w:val="12CD6FEE"/>
    <w:rsid w:val="1726454E"/>
    <w:rsid w:val="17326629"/>
    <w:rsid w:val="17365EA8"/>
    <w:rsid w:val="17D9107A"/>
    <w:rsid w:val="186336D8"/>
    <w:rsid w:val="1C843955"/>
    <w:rsid w:val="1C9A7366"/>
    <w:rsid w:val="1E3C3081"/>
    <w:rsid w:val="20522232"/>
    <w:rsid w:val="21FF6A62"/>
    <w:rsid w:val="22DC6175"/>
    <w:rsid w:val="24254BA9"/>
    <w:rsid w:val="2A63473C"/>
    <w:rsid w:val="2B760E79"/>
    <w:rsid w:val="316B79E6"/>
    <w:rsid w:val="34D63D90"/>
    <w:rsid w:val="34DB2A67"/>
    <w:rsid w:val="35820E6C"/>
    <w:rsid w:val="35F72828"/>
    <w:rsid w:val="361B0D01"/>
    <w:rsid w:val="3701586F"/>
    <w:rsid w:val="3A653607"/>
    <w:rsid w:val="3B972E61"/>
    <w:rsid w:val="3C9B1A25"/>
    <w:rsid w:val="3DA22677"/>
    <w:rsid w:val="3DE91BEB"/>
    <w:rsid w:val="3E13087D"/>
    <w:rsid w:val="3EEA56BA"/>
    <w:rsid w:val="3F227E5E"/>
    <w:rsid w:val="43422601"/>
    <w:rsid w:val="467328A4"/>
    <w:rsid w:val="47FC6ED2"/>
    <w:rsid w:val="49161FED"/>
    <w:rsid w:val="4D4D7562"/>
    <w:rsid w:val="4E3B1335"/>
    <w:rsid w:val="4E5726DB"/>
    <w:rsid w:val="4F8B21D5"/>
    <w:rsid w:val="5083462D"/>
    <w:rsid w:val="51012E61"/>
    <w:rsid w:val="546622C8"/>
    <w:rsid w:val="554B49EA"/>
    <w:rsid w:val="574551BC"/>
    <w:rsid w:val="57D840BE"/>
    <w:rsid w:val="5ABC0073"/>
    <w:rsid w:val="5CB07542"/>
    <w:rsid w:val="5CD31D13"/>
    <w:rsid w:val="5ECD6079"/>
    <w:rsid w:val="600D3878"/>
    <w:rsid w:val="62BB6678"/>
    <w:rsid w:val="69841F9B"/>
    <w:rsid w:val="6EFC30C9"/>
    <w:rsid w:val="6F1B41FB"/>
    <w:rsid w:val="70CF0B30"/>
    <w:rsid w:val="712F4E89"/>
    <w:rsid w:val="7148382D"/>
    <w:rsid w:val="744163C8"/>
    <w:rsid w:val="76F033C8"/>
    <w:rsid w:val="79E2249B"/>
    <w:rsid w:val="79FA4FB5"/>
    <w:rsid w:val="7C317DEB"/>
    <w:rsid w:val="7C464981"/>
    <w:rsid w:val="7C5F1B5A"/>
    <w:rsid w:val="7F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cs="宋体"/>
      <w:lang w:val="zh-CN" w:bidi="zh-CN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unhideWhenUsed/>
    <w:qFormat/>
    <w:uiPriority w:val="99"/>
    <w:pPr>
      <w:adjustRightInd w:val="0"/>
      <w:spacing w:line="400" w:lineRule="exact"/>
      <w:ind w:left="200" w:leftChars="200" w:hanging="200" w:hangingChars="200"/>
    </w:pPr>
    <w:rPr>
      <w:rFonts w:ascii="Calibri" w:hAnsi="Calibri" w:eastAsia="宋体" w:cs="Calibri"/>
      <w:szCs w:val="21"/>
    </w:rPr>
  </w:style>
  <w:style w:type="paragraph" w:styleId="8">
    <w:name w:val="HTML Preformatted"/>
    <w:basedOn w:val="1"/>
    <w:link w:val="3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眉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9">
    <w:name w:val="文章正文"/>
    <w:basedOn w:val="1"/>
    <w:link w:val="20"/>
    <w:qFormat/>
    <w:uiPriority w:val="0"/>
    <w:pPr>
      <w:ind w:firstLine="560" w:firstLineChars="200"/>
    </w:pPr>
    <w:rPr>
      <w:rFonts w:ascii="宋体" w:hAnsi="宋体"/>
      <w:color w:val="000000"/>
      <w:kern w:val="28"/>
      <w:sz w:val="28"/>
      <w:szCs w:val="28"/>
      <w:lang w:val="zh-CN"/>
    </w:rPr>
  </w:style>
  <w:style w:type="character" w:customStyle="1" w:styleId="20">
    <w:name w:val="文章正文 Char"/>
    <w:link w:val="19"/>
    <w:qFormat/>
    <w:uiPriority w:val="0"/>
    <w:rPr>
      <w:rFonts w:ascii="宋体" w:hAnsi="宋体" w:eastAsia="宋体" w:cs="Times New Roman"/>
      <w:color w:val="000000"/>
      <w:kern w:val="28"/>
      <w:sz w:val="28"/>
      <w:szCs w:val="28"/>
      <w:lang w:val="zh-CN" w:eastAsia="zh-CN"/>
    </w:rPr>
  </w:style>
  <w:style w:type="character" w:customStyle="1" w:styleId="21">
    <w:name w:val="批注框文本 字符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段 字符"/>
    <w:basedOn w:val="12"/>
    <w:qFormat/>
    <w:uiPriority w:val="0"/>
    <w:rPr>
      <w:rFonts w:ascii="Times New Roman" w:hAnsi="Times New Roman" w:eastAsia="宋体" w:cs="Calibri"/>
      <w:szCs w:val="21"/>
    </w:rPr>
  </w:style>
  <w:style w:type="paragraph" w:customStyle="1" w:styleId="24">
    <w:name w:val="术语"/>
    <w:basedOn w:val="17"/>
    <w:next w:val="17"/>
    <w:link w:val="25"/>
    <w:qFormat/>
    <w:uiPriority w:val="0"/>
    <w:pPr>
      <w:widowControl w:val="0"/>
      <w:autoSpaceDE/>
      <w:autoSpaceDN/>
      <w:adjustRightInd w:val="0"/>
      <w:ind w:firstLine="420"/>
    </w:pPr>
    <w:rPr>
      <w:rFonts w:ascii="Times New Roman" w:eastAsia="黑体" w:cs="Calibri"/>
      <w:kern w:val="2"/>
      <w:szCs w:val="21"/>
    </w:rPr>
  </w:style>
  <w:style w:type="character" w:customStyle="1" w:styleId="25">
    <w:name w:val="术语 字符"/>
    <w:basedOn w:val="23"/>
    <w:link w:val="24"/>
    <w:qFormat/>
    <w:uiPriority w:val="0"/>
    <w:rPr>
      <w:rFonts w:ascii="Times New Roman" w:hAnsi="Times New Roman" w:eastAsia="黑体" w:cs="Calibri"/>
      <w:szCs w:val="21"/>
    </w:rPr>
  </w:style>
  <w:style w:type="paragraph" w:customStyle="1" w:styleId="26">
    <w:name w:val="1章标题"/>
    <w:next w:val="1"/>
    <w:qFormat/>
    <w:uiPriority w:val="99"/>
    <w:pPr>
      <w:numPr>
        <w:ilvl w:val="1"/>
        <w:numId w:val="1"/>
      </w:numPr>
      <w:spacing w:beforeLines="50" w:afterLines="50"/>
      <w:jc w:val="both"/>
      <w:outlineLvl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7">
    <w:name w:val="标准文件_二级条标题"/>
    <w:next w:val="1"/>
    <w:qFormat/>
    <w:uiPriority w:val="99"/>
    <w:pPr>
      <w:widowControl w:val="0"/>
      <w:numPr>
        <w:ilvl w:val="3"/>
        <w:numId w:val="1"/>
      </w:numPr>
      <w:jc w:val="both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28">
    <w:name w:val="标准文件_三级条标题"/>
    <w:basedOn w:val="27"/>
    <w:next w:val="1"/>
    <w:qFormat/>
    <w:uiPriority w:val="99"/>
    <w:pPr>
      <w:widowControl/>
      <w:numPr>
        <w:ilvl w:val="4"/>
      </w:numPr>
      <w:outlineLvl w:val="3"/>
    </w:pPr>
  </w:style>
  <w:style w:type="paragraph" w:customStyle="1" w:styleId="29">
    <w:name w:val="标准文件_四级条标题"/>
    <w:next w:val="1"/>
    <w:qFormat/>
    <w:uiPriority w:val="99"/>
    <w:pPr>
      <w:widowControl w:val="0"/>
      <w:numPr>
        <w:ilvl w:val="5"/>
        <w:numId w:val="1"/>
      </w:numPr>
      <w:jc w:val="both"/>
      <w:outlineLvl w:val="4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0">
    <w:name w:val="标准文件_五级条标题"/>
    <w:next w:val="1"/>
    <w:qFormat/>
    <w:uiPriority w:val="99"/>
    <w:pPr>
      <w:widowControl w:val="0"/>
      <w:numPr>
        <w:ilvl w:val="6"/>
        <w:numId w:val="1"/>
      </w:numPr>
      <w:jc w:val="both"/>
      <w:outlineLvl w:val="5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31">
    <w:name w:val="标准文件_一级条标题"/>
    <w:basedOn w:val="26"/>
    <w:next w:val="1"/>
    <w:qFormat/>
    <w:uiPriority w:val="99"/>
    <w:pPr>
      <w:numPr>
        <w:ilvl w:val="2"/>
      </w:numPr>
      <w:spacing w:beforeLines="0" w:afterLines="0"/>
      <w:outlineLvl w:val="1"/>
    </w:pPr>
  </w:style>
  <w:style w:type="paragraph" w:customStyle="1" w:styleId="32">
    <w:name w:val="前言标题"/>
    <w:next w:val="1"/>
    <w:qFormat/>
    <w:uiPriority w:val="99"/>
    <w:pPr>
      <w:numPr>
        <w:ilvl w:val="0"/>
        <w:numId w:val="1"/>
      </w:numPr>
      <w:shd w:val="clear" w:color="FFFFFF" w:fill="FFFFFF"/>
      <w:spacing w:before="54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3">
    <w:name w:val="二级条标题"/>
    <w:basedOn w:val="27"/>
    <w:next w:val="17"/>
    <w:link w:val="34"/>
    <w:qFormat/>
    <w:uiPriority w:val="0"/>
    <w:pPr>
      <w:spacing w:before="50" w:beforeLines="50" w:after="50" w:afterLines="50"/>
    </w:pPr>
    <w:rPr>
      <w:rFonts w:ascii="Times New Roman"/>
    </w:rPr>
  </w:style>
  <w:style w:type="character" w:customStyle="1" w:styleId="34">
    <w:name w:val="二级条标题 字符"/>
    <w:basedOn w:val="12"/>
    <w:link w:val="33"/>
    <w:qFormat/>
    <w:uiPriority w:val="0"/>
    <w:rPr>
      <w:rFonts w:ascii="Times New Roman" w:hAnsi="Times New Roman" w:eastAsia="黑体" w:cs="黑体"/>
      <w:kern w:val="0"/>
      <w:szCs w:val="21"/>
    </w:rPr>
  </w:style>
  <w:style w:type="character" w:customStyle="1" w:styleId="35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HTML 预设格式 字符"/>
    <w:basedOn w:val="12"/>
    <w:link w:val="8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37">
    <w:name w:val="一级条标题"/>
    <w:basedOn w:val="31"/>
    <w:next w:val="17"/>
    <w:qFormat/>
    <w:uiPriority w:val="0"/>
    <w:pPr>
      <w:spacing w:before="156" w:beforeLines="50" w:after="156" w:afterLines="50"/>
    </w:pPr>
  </w:style>
  <w:style w:type="paragraph" w:customStyle="1" w:styleId="38">
    <w:name w:val="标准文件_段"/>
    <w:qFormat/>
    <w:uiPriority w:val="99"/>
    <w:pPr>
      <w:widowControl w:val="0"/>
      <w:ind w:firstLine="198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39">
    <w:name w:val="正文表标题"/>
    <w:basedOn w:val="40"/>
    <w:next w:val="17"/>
    <w:qFormat/>
    <w:uiPriority w:val="0"/>
    <w:pPr>
      <w:numPr>
        <w:numId w:val="2"/>
      </w:numPr>
    </w:pPr>
  </w:style>
  <w:style w:type="paragraph" w:customStyle="1" w:styleId="40">
    <w:name w:val="正文图题"/>
    <w:basedOn w:val="7"/>
    <w:next w:val="17"/>
    <w:qFormat/>
    <w:uiPriority w:val="0"/>
    <w:pPr>
      <w:numPr>
        <w:ilvl w:val="0"/>
        <w:numId w:val="3"/>
      </w:numPr>
      <w:spacing w:before="50" w:beforeLines="50" w:after="50" w:afterLines="50" w:line="240" w:lineRule="auto"/>
      <w:ind w:left="0" w:leftChars="0" w:firstLine="0" w:firstLineChars="0"/>
      <w:jc w:val="center"/>
    </w:pPr>
    <w:rPr>
      <w:rFonts w:eastAsia="黑体"/>
    </w:rPr>
  </w:style>
  <w:style w:type="paragraph" w:customStyle="1" w:styleId="41">
    <w:name w:val="三级条标题"/>
    <w:basedOn w:val="28"/>
    <w:next w:val="17"/>
    <w:qFormat/>
    <w:uiPriority w:val="0"/>
    <w:pPr>
      <w:spacing w:before="156" w:beforeLines="50" w:after="156" w:afterLines="5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11FA1-C665-4CEF-A46E-03F3344C7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4705</Words>
  <Characters>5762</Characters>
  <Lines>18</Lines>
  <Paragraphs>5</Paragraphs>
  <TotalTime>9</TotalTime>
  <ScaleCrop>false</ScaleCrop>
  <LinksUpToDate>false</LinksUpToDate>
  <CharactersWithSpaces>6087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2017-06-05T06:59:00Z</dcterms:created>
  <dc:creator>zhengyanfeng</dc:creator>
  <cp:lastModifiedBy>Administrator</cp:lastModifiedBy>
  <dcterms:modified xsi:type="dcterms:W3CDTF">2022-09-20T03:11:01Z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856F06179FC943519AC3DDFD412052ED</vt:lpwstr>
  </property>
</Properties>
</file>