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after="157" w:afterLines="50"/>
        <w:jc w:val="center"/>
        <w:textAlignment w:val="auto"/>
        <w:rPr>
          <w:rFonts w:hint="eastAsia" w:ascii="宋体" w:hAnsi="宋体"/>
        </w:rPr>
      </w:pPr>
      <w:bookmarkStart w:id="0" w:name="_Toc384593522"/>
      <w:bookmarkStart w:id="1" w:name="_Toc421543628"/>
      <w:r>
        <w:rPr>
          <w:rFonts w:hint="eastAsia"/>
          <w:highlight w:val="none"/>
        </w:rPr>
        <w:t>《</w:t>
      </w:r>
      <w:r>
        <w:rPr>
          <w:rFonts w:hint="eastAsia"/>
          <w:highlight w:val="none"/>
          <w:lang w:val="en-US" w:eastAsia="zh-CN"/>
        </w:rPr>
        <w:t>灵芝菌丝粉</w:t>
      </w:r>
      <w:r>
        <w:rPr>
          <w:rFonts w:hint="eastAsia"/>
          <w:highlight w:val="none"/>
        </w:rPr>
        <w:t>》</w:t>
      </w:r>
      <w:r>
        <w:rPr>
          <w:rFonts w:hint="eastAsia" w:ascii="宋体" w:hAnsi="宋体"/>
          <w:highlight w:val="none"/>
        </w:rPr>
        <w:t>编制说</w:t>
      </w:r>
      <w:r>
        <w:rPr>
          <w:rFonts w:hint="eastAsia" w:ascii="宋体" w:hAnsi="宋体"/>
        </w:rPr>
        <w:t>明</w:t>
      </w:r>
    </w:p>
    <w:p>
      <w:pPr>
        <w:pageBreakBefore w:val="0"/>
        <w:widowControl w:val="0"/>
        <w:kinsoku/>
        <w:wordWrap/>
        <w:overflowPunct/>
        <w:topLinePunct w:val="0"/>
        <w:autoSpaceDE/>
        <w:autoSpaceDN/>
        <w:bidi w:val="0"/>
        <w:adjustRightInd/>
        <w:snapToGrid/>
        <w:spacing w:after="157" w:afterLines="50"/>
        <w:jc w:val="center"/>
        <w:textAlignment w:val="auto"/>
        <w:rPr>
          <w:rFonts w:hint="eastAsia" w:eastAsia="宋体"/>
          <w:lang w:eastAsia="zh-CN"/>
        </w:rPr>
      </w:pPr>
      <w:r>
        <w:rPr>
          <w:rFonts w:hint="eastAsia"/>
          <w:lang w:eastAsia="zh-CN"/>
        </w:rPr>
        <w:t>（</w:t>
      </w:r>
      <w:r>
        <w:rPr>
          <w:rFonts w:hint="eastAsia"/>
          <w:lang w:val="en-US" w:eastAsia="zh-CN"/>
        </w:rPr>
        <w:t>征求意见稿</w:t>
      </w:r>
      <w:r>
        <w:rPr>
          <w:rFonts w:hint="eastAsia"/>
          <w:lang w:eastAsia="zh-CN"/>
        </w:rPr>
        <w:t>）</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一、工作简况，包括任务来源、协作单位、主要工作、团体标准主要起草人及其所承担的工作等</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1.任务来源</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由于生活和工作强度的增加、生存环境的恶化、生活不规律、社会进入老龄化阶段导致现在人们的身体状况处于亚健康或者不健康的状态，甚至出现许多重大疾病。但随着生活质量的提升和人们对保健的意识的增强，人们对保健品的需求明显增加。被《神农本草经》《本草纲目》列为上品、功效自古以来评价一直很高的灵芝，备受消费者关注。近年来，灵芝菌丝粉因其较高的有效成分和较好的功效，产品大量涌入市场，具有很好的发展前景，拥有十分重要的社会价值和经济价值。从2012年起，我国灵芝产业发展迅猛，市场产值已超百亿元，其中，灵芝菌丝粉属于灵芝制剂的顶级形态，灵芝菌丝粉以灵芝菌种经发酵培养等工艺制备而成的，我国医药研究专家通过临床药理研究发现灵芝孢子中的抗病主力为多糖类物质，这不仅证明了灵芝菌丝粉具有很高的药用价值，也使灵芝菌丝粉成为研究的热点。灵芝菌丝粉荟萃灵芝之精华，属于灵芝制剂的特别形态，其有效成分和功效都得到了明显的增高。灵芝菌丝粉在市场上占有很大的销售份额，但市场上的灵芝菌丝粉产品良莠不齐。长期以来，灵芝菌丝粉行业缺乏统一、规范的标准，导致乱象频发；市场上流通的灵芝菌丝粉质量无法有效控制，给人们用药安全带来了隐患，同时也影响了灵芝相关产业的的声誉。</w:t>
      </w:r>
    </w:p>
    <w:p>
      <w:pPr>
        <w:spacing w:before="312" w:beforeLines="100" w:after="124" w:afterLines="40"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因此，迫切需要建立灵芝菌丝粉的质量标准，保证市场上灵芝菌粉的质量，保护消费者健康安全和经济利益，维护行业秩序，促进产业合理、健康发展。</w:t>
      </w:r>
    </w:p>
    <w:p>
      <w:pPr>
        <w:spacing w:before="312" w:beforeLines="100" w:after="124" w:afterLines="40" w:line="360" w:lineRule="auto"/>
        <w:ind w:firstLine="480" w:firstLineChars="200"/>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2022年5月31日，中国食品药品企业质量安全促进会发文（中食药质安促字[2022]36号）批复同意《灵芝菌丝粉》的团标立项申请。</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2.协作单位</w:t>
      </w:r>
    </w:p>
    <w:p>
      <w:pPr>
        <w:spacing w:before="312" w:beforeLines="100" w:after="124" w:afterLines="40" w:line="360" w:lineRule="auto"/>
        <w:ind w:firstLine="480" w:firstLineChars="200"/>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北京共生文化咨询有限公司、中国保健协会食物营养与安全专业委员会、大连康之源生物科技有限公司。</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3.主要工作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ascii="黑体" w:eastAsia="黑体"/>
          <w:sz w:val="24"/>
        </w:rPr>
      </w:pPr>
      <w:r>
        <w:rPr>
          <w:rFonts w:hint="eastAsia" w:ascii="黑体" w:eastAsia="黑体"/>
          <w:sz w:val="24"/>
        </w:rPr>
        <w:t>起草阶段：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2022年3月，成立标准起草工作组。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2022年4月，搜集国内外有关标准，结合企业标准，起草标准草案。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2022年5月，按照中国食品药品企业质量安全促进会团标管理办法要求，准备立项相关材料，提出团标立项申请。5月27日，标准起草工作组代表参加了协会组织的团标专家立项评审会（视频会）。经过立项评审，与会专家一致认为《灵芝菌丝粉》团体标准符合我国有关标准规范的要求，建议立项。5月31日，中国食品药品企业质量安全促进会发文（中食药质安促字[2022]36号）批复同意《灵芝菌丝粉》的团标立项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2022年6-8月，</w:t>
      </w:r>
      <w:r>
        <w:rPr>
          <w:rFonts w:hint="eastAsia" w:asciiTheme="minorEastAsia" w:hAnsiTheme="minorEastAsia" w:eastAsiaTheme="minorEastAsia"/>
          <w:sz w:val="24"/>
          <w:szCs w:val="24"/>
        </w:rPr>
        <w:t>标准起草工作组</w:t>
      </w:r>
      <w:r>
        <w:rPr>
          <w:rFonts w:hint="eastAsia" w:asciiTheme="minorEastAsia" w:hAnsiTheme="minorEastAsia" w:eastAsiaTheme="minorEastAsia"/>
          <w:sz w:val="24"/>
          <w:szCs w:val="24"/>
          <w:lang w:val="en-US" w:eastAsia="zh-CN"/>
        </w:rPr>
        <w:t>根据立项评审会意见修改文本，并依据文本要求进行了相关验证试验。通过验证，并经内容研讨，起草组进一步修改完善文本，而后形成征求意见稿提交协会公开征求意见。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黑体" w:eastAsia="黑体"/>
          <w:sz w:val="24"/>
        </w:rPr>
      </w:pPr>
      <w:r>
        <w:rPr>
          <w:rFonts w:hint="eastAsia" w:ascii="黑体" w:eastAsia="黑体"/>
          <w:sz w:val="24"/>
        </w:rPr>
        <w:t>征求意见阶段：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黑体" w:eastAsia="黑体"/>
          <w:sz w:val="24"/>
        </w:rPr>
      </w:pPr>
      <w:r>
        <w:rPr>
          <w:rFonts w:hint="eastAsia" w:ascii="黑体" w:eastAsia="黑体"/>
          <w:sz w:val="24"/>
        </w:rPr>
        <w:t>审查阶段：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黑体" w:eastAsia="黑体"/>
          <w:sz w:val="24"/>
        </w:rPr>
      </w:pPr>
      <w:r>
        <w:rPr>
          <w:rFonts w:hint="eastAsia" w:ascii="黑体" w:eastAsia="黑体"/>
          <w:sz w:val="24"/>
        </w:rPr>
        <w:t>报批阶段：</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4.团体标准主要起草人及其所承担的工作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本标准主要起草人：孙莉、邢守英等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承担的工作：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二、标准编制原则和确定标准主要内容的依据</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 xml:space="preserve">1、标准编制原则 </w:t>
      </w:r>
    </w:p>
    <w:p>
      <w:pPr>
        <w:spacing w:line="360" w:lineRule="auto"/>
        <w:rPr>
          <w:rFonts w:hint="eastAsia" w:ascii="ˎ̥" w:hAnsi="ˎ̥"/>
          <w:sz w:val="24"/>
        </w:rPr>
      </w:pPr>
      <w:r>
        <w:rPr>
          <w:rFonts w:ascii="ˎ̥" w:hAnsi="ˎ̥"/>
          <w:sz w:val="24"/>
        </w:rPr>
        <w:t xml:space="preserve">    </w:t>
      </w:r>
      <w:r>
        <w:rPr>
          <w:rFonts w:hint="eastAsia" w:ascii="ˎ̥" w:hAnsi="ˎ̥"/>
          <w:sz w:val="24"/>
        </w:rPr>
        <w:t>本标准的制定符合产业发展的原则，本着先进性、科学性、合理性和可操作性的原则</w:t>
      </w:r>
      <w:r>
        <w:rPr>
          <w:rFonts w:hint="eastAsia" w:ascii="ˎ̥" w:hAnsi="ˎ̥"/>
          <w:sz w:val="24"/>
          <w:lang w:eastAsia="zh-CN"/>
        </w:rPr>
        <w:t>，</w:t>
      </w:r>
      <w:r>
        <w:rPr>
          <w:rFonts w:hint="eastAsia" w:ascii="ˎ̥" w:hAnsi="ˎ̥"/>
          <w:sz w:val="24"/>
        </w:rPr>
        <w:t>以及标准的目标、统一性、协调性、适用性、一致性和规范性原则来进行本标准的制定工作。</w:t>
      </w:r>
    </w:p>
    <w:p>
      <w:pPr>
        <w:spacing w:line="360" w:lineRule="auto"/>
        <w:ind w:firstLine="480" w:firstLineChars="200"/>
        <w:rPr>
          <w:rFonts w:hint="eastAsia" w:ascii="ˎ̥" w:hAnsi="ˎ̥"/>
          <w:sz w:val="24"/>
        </w:rPr>
      </w:pPr>
      <w:r>
        <w:rPr>
          <w:rFonts w:hint="eastAsia" w:ascii="ˎ̥" w:hAnsi="ˎ̥"/>
          <w:sz w:val="24"/>
        </w:rPr>
        <w:t>本标准起草过程中，主要按GB/T 1.1</w:t>
      </w:r>
      <w:r>
        <w:rPr>
          <w:rFonts w:hint="eastAsia"/>
        </w:rPr>
        <w:t>－</w:t>
      </w:r>
      <w:r>
        <w:rPr>
          <w:rFonts w:hint="eastAsia" w:ascii="ˎ̥" w:hAnsi="ˎ̥"/>
          <w:sz w:val="24"/>
        </w:rPr>
        <w:t xml:space="preserve">2020《标准化工作导则 </w:t>
      </w:r>
      <w:r>
        <w:rPr>
          <w:rFonts w:hint="eastAsia" w:ascii="ˎ̥" w:hAnsi="ˎ̥"/>
          <w:sz w:val="24"/>
          <w:lang w:val="en-US" w:eastAsia="zh-CN"/>
        </w:rPr>
        <w:t xml:space="preserve"> </w:t>
      </w:r>
      <w:r>
        <w:rPr>
          <w:rFonts w:hint="eastAsia" w:ascii="ˎ̥" w:hAnsi="ˎ̥"/>
          <w:sz w:val="24"/>
        </w:rPr>
        <w:t>第1部分：标准化文件的结构和起草规则》进行编写。</w:t>
      </w:r>
    </w:p>
    <w:p>
      <w:pPr>
        <w:spacing w:line="360" w:lineRule="auto"/>
        <w:ind w:firstLine="480" w:firstLineChars="200"/>
        <w:rPr>
          <w:rFonts w:hint="eastAsia" w:ascii="ˎ̥" w:hAnsi="ˎ̥"/>
          <w:sz w:val="24"/>
        </w:rPr>
      </w:pPr>
      <w:r>
        <w:rPr>
          <w:rFonts w:hint="eastAsia" w:ascii="ˎ̥" w:hAnsi="ˎ̥"/>
          <w:sz w:val="24"/>
        </w:rPr>
        <w:t>本标准制定过程中，引用或参考了以下标准或文件：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GB 1351 小麦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GB 1353 玉米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GB 2762 食品安全国家标准 食品中污染物限量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GB 4789.1 食品安全国家标准 食品微生物学检验 总则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 xml:space="preserve">GB 4789.2 食品安全国家标准 食品微生物学检验 菌落总数测定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GB 4789.3 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default"/>
          <w:sz w:val="24"/>
          <w:lang w:val="en-US" w:eastAsia="zh-CN"/>
        </w:rPr>
        <w:t>GB 4789.4</w:t>
      </w:r>
      <w:r>
        <w:rPr>
          <w:rFonts w:hint="eastAsia"/>
          <w:sz w:val="24"/>
          <w:lang w:val="en-US" w:eastAsia="zh-CN"/>
        </w:rPr>
        <w:t xml:space="preserve"> 食品安全国家标准 食品微生物学检验 沙门氏菌检验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default"/>
          <w:sz w:val="24"/>
          <w:lang w:val="en-US" w:eastAsia="zh-CN"/>
        </w:rPr>
        <w:t>GB 4789.10</w:t>
      </w:r>
      <w:r>
        <w:rPr>
          <w:rFonts w:hint="eastAsia"/>
          <w:sz w:val="24"/>
          <w:lang w:val="en-US" w:eastAsia="zh-CN"/>
        </w:rPr>
        <w:t xml:space="preserve"> 食品安全国家标准 食品微生物学检验 金黄色葡萄球菌检验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GB 4789.15 食品安全国家标准 食品微生物学检验 霉菌和酵母计数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GB/T 4789.21 食品卫生微生物学检验 冷冻饮品、饮料检验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 xml:space="preserve">GB 5009.4 </w:t>
      </w:r>
      <w:r>
        <w:rPr>
          <w:rFonts w:hint="default"/>
          <w:sz w:val="24"/>
          <w:lang w:val="en-US" w:eastAsia="zh-CN"/>
        </w:rPr>
        <w:t>食品安全国家标准 食品中灰分的测定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GB 14881 食品安全国家标准 食品生产通用卫生规范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GB/T 22427.5 淀粉细度的测定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JJF 1070 定量包装商品净含量计量检验规则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《定量包装商品计量监督管理办法》（国家质量监督检验检疫总局令〔2005〕第</w:t>
      </w:r>
      <w:r>
        <w:rPr>
          <w:rFonts w:hint="default"/>
          <w:sz w:val="24"/>
          <w:lang w:val="en-US" w:eastAsia="zh-CN"/>
        </w:rPr>
        <w:t>75号</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Calibri" w:hAnsi="Calibri" w:eastAsia="宋体" w:cs="Times New Roman"/>
          <w:kern w:val="2"/>
          <w:sz w:val="24"/>
          <w:szCs w:val="22"/>
          <w:lang w:val="en-US" w:eastAsia="zh-CN" w:bidi="ar-SA"/>
        </w:rPr>
      </w:pPr>
      <w:r>
        <w:rPr>
          <w:rFonts w:hint="eastAsia"/>
          <w:sz w:val="24"/>
          <w:lang w:val="en-US" w:eastAsia="zh-CN"/>
        </w:rPr>
        <w:t>《保健食品功效成分检测方法》(2011年版)</w:t>
      </w:r>
    </w:p>
    <w:p>
      <w:pPr>
        <w:keepNext w:val="0"/>
        <w:keepLines w:val="0"/>
        <w:pageBreakBefore w:val="0"/>
        <w:widowControl w:val="0"/>
        <w:kinsoku/>
        <w:wordWrap/>
        <w:overflowPunct/>
        <w:topLinePunct w:val="0"/>
        <w:autoSpaceDE/>
        <w:autoSpaceDN/>
        <w:bidi w:val="0"/>
        <w:adjustRightInd/>
        <w:snapToGrid/>
        <w:spacing w:before="157" w:beforeLines="50" w:after="124" w:afterLines="40" w:line="360" w:lineRule="auto"/>
        <w:ind w:firstLine="480" w:firstLineChars="200"/>
        <w:textAlignment w:val="auto"/>
        <w:rPr>
          <w:rFonts w:hint="eastAsia" w:ascii="黑体" w:eastAsia="黑体"/>
          <w:sz w:val="24"/>
        </w:rPr>
      </w:pPr>
      <w:r>
        <w:rPr>
          <w:rFonts w:hint="eastAsia" w:ascii="黑体" w:eastAsia="黑体"/>
          <w:sz w:val="24"/>
        </w:rPr>
        <w:t>2、确定标准主要内容的依据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 xml:space="preserve">本文件规定了灵芝菌丝粉的原辅料要求，生产工艺要求，感官、理化、污染物、微生物等质量要求，描述了相应的测试方法，规定了检验规则、标志、包装、运输和贮存的内容。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 xml:space="preserve">本文件适用于以小麦、玉米等为培养基，将灵芝菌种接种在培养基里生长出菌丝体，加工而成的灵芝菌丝粉的生产、检验和销售。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（1）术语和定义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bookmarkStart w:id="2" w:name="_Toc1593"/>
      <w:bookmarkEnd w:id="2"/>
      <w:bookmarkStart w:id="3" w:name="_Toc2604"/>
      <w:bookmarkEnd w:id="3"/>
      <w:r>
        <w:rPr>
          <w:rFonts w:hint="eastAsia"/>
          <w:sz w:val="24"/>
          <w:lang w:val="en-US" w:eastAsia="zh-CN"/>
        </w:rPr>
        <w:t>以小麦、玉米等为培养基，将灵芝菌种接种在培养基里生长出菌丝体，经干燥、过筛、灭菌等工艺加工而成的粉状产品。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（2）原辅料要求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原辅料应符合相关国行标的规定，具体是：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eastAsia="zh-CN"/>
        </w:rPr>
      </w:pPr>
      <w:r>
        <w:rPr>
          <w:rFonts w:hint="eastAsia"/>
          <w:sz w:val="24"/>
          <w:lang w:eastAsia="zh-CN"/>
        </w:rPr>
        <w:t>——玉米</w:t>
      </w:r>
      <w:r>
        <w:rPr>
          <w:rFonts w:hint="eastAsia"/>
          <w:sz w:val="24"/>
          <w:lang w:val="en-US" w:eastAsia="zh-CN"/>
        </w:rPr>
        <w:t>应</w:t>
      </w:r>
      <w:r>
        <w:rPr>
          <w:rFonts w:hint="eastAsia"/>
          <w:sz w:val="24"/>
          <w:lang w:eastAsia="zh-CN"/>
        </w:rPr>
        <w:t>符合GB 1353</w:t>
      </w:r>
      <w:r>
        <w:rPr>
          <w:rFonts w:hint="eastAsia"/>
          <w:sz w:val="24"/>
          <w:lang w:val="en-US" w:eastAsia="zh-CN"/>
        </w:rPr>
        <w:t>相关</w:t>
      </w:r>
      <w:r>
        <w:rPr>
          <w:rFonts w:hint="eastAsia"/>
          <w:sz w:val="24"/>
          <w:lang w:eastAsia="zh-CN"/>
        </w:rPr>
        <w:t>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eastAsia="zh-CN"/>
        </w:rPr>
      </w:pPr>
      <w:r>
        <w:rPr>
          <w:rFonts w:hint="eastAsia"/>
          <w:sz w:val="24"/>
          <w:lang w:eastAsia="zh-CN"/>
        </w:rPr>
        <w:t>——小麦</w:t>
      </w:r>
      <w:r>
        <w:rPr>
          <w:rFonts w:hint="eastAsia"/>
          <w:sz w:val="24"/>
          <w:lang w:val="en-US" w:eastAsia="zh-CN"/>
        </w:rPr>
        <w:t>应</w:t>
      </w:r>
      <w:r>
        <w:rPr>
          <w:rFonts w:hint="eastAsia"/>
          <w:sz w:val="24"/>
          <w:lang w:eastAsia="zh-CN"/>
        </w:rPr>
        <w:t>符合GB 1351</w:t>
      </w:r>
      <w:r>
        <w:rPr>
          <w:rFonts w:hint="eastAsia"/>
          <w:sz w:val="24"/>
          <w:lang w:val="en-US" w:eastAsia="zh-CN"/>
        </w:rPr>
        <w:t>相关</w:t>
      </w:r>
      <w:r>
        <w:rPr>
          <w:rFonts w:hint="eastAsia"/>
          <w:sz w:val="24"/>
          <w:lang w:eastAsia="zh-CN"/>
        </w:rPr>
        <w:t>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eastAsia="zh-CN"/>
        </w:rPr>
      </w:pPr>
      <w:r>
        <w:rPr>
          <w:rFonts w:hint="eastAsia"/>
          <w:sz w:val="24"/>
          <w:lang w:eastAsia="zh-CN"/>
        </w:rPr>
        <w:t>——其他原辅料应符合相应国家、行业标准要求。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（3）生产工艺要求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eastAsia="zh-CN"/>
        </w:rPr>
      </w:pPr>
      <w:r>
        <w:rPr>
          <w:rFonts w:hint="eastAsia"/>
          <w:sz w:val="24"/>
          <w:lang w:val="en-US" w:eastAsia="zh-CN"/>
        </w:rPr>
        <w:t>主要生产工艺按照企业实际生产过程，包括：灵芝菌种培养发酵→干燥→过筛→灭菌→检验→包。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eastAsia="zh-CN"/>
        </w:rPr>
      </w:pPr>
      <w:r>
        <w:rPr>
          <w:rFonts w:hint="eastAsia"/>
          <w:sz w:val="24"/>
          <w:lang w:val="en-US" w:eastAsia="zh-CN"/>
        </w:rPr>
        <w:t>产品生产卫生按照相关国家标准执行，即</w:t>
      </w:r>
      <w:r>
        <w:rPr>
          <w:rFonts w:hint="default"/>
          <w:sz w:val="24"/>
          <w:lang w:val="en-US" w:eastAsia="zh-CN"/>
        </w:rPr>
        <w:t>应</w:t>
      </w:r>
      <w:r>
        <w:rPr>
          <w:rFonts w:hint="eastAsia"/>
          <w:sz w:val="24"/>
          <w:lang w:val="en-US" w:eastAsia="zh-CN"/>
        </w:rPr>
        <w:t>符</w:t>
      </w:r>
      <w:r>
        <w:rPr>
          <w:rFonts w:hint="default"/>
          <w:sz w:val="24"/>
          <w:lang w:val="en-US" w:eastAsia="zh-CN"/>
        </w:rPr>
        <w:t>合GB 14881</w:t>
      </w:r>
      <w:r>
        <w:rPr>
          <w:rFonts w:hint="eastAsia"/>
          <w:sz w:val="24"/>
          <w:lang w:val="en-US" w:eastAsia="zh-CN"/>
        </w:rPr>
        <w:t>《食品安全国家标准 食品生产通用卫生规范》</w:t>
      </w:r>
      <w:r>
        <w:rPr>
          <w:rFonts w:hint="eastAsia"/>
          <w:sz w:val="24"/>
          <w:lang w:eastAsia="zh-CN"/>
        </w:rPr>
        <w:t>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（4）质量要求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1）感官要求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按照产品特性确定，如表1所示。</w:t>
      </w:r>
    </w:p>
    <w:p>
      <w:pPr>
        <w:snapToGrid w:val="0"/>
        <w:spacing w:before="124" w:beforeLines="40" w:after="124" w:afterLines="40" w:line="360" w:lineRule="auto"/>
        <w:jc w:val="center"/>
        <w:rPr>
          <w:rFonts w:hint="eastAsia"/>
          <w:sz w:val="24"/>
          <w:lang w:val="en-US" w:eastAsia="zh-CN"/>
        </w:rPr>
      </w:pPr>
      <w:r>
        <w:rPr>
          <w:rFonts w:hint="eastAsia"/>
          <w:sz w:val="24"/>
          <w:lang w:val="en-US" w:eastAsia="zh-CN"/>
        </w:rPr>
        <w:t>表1 感官要求</w:t>
      </w:r>
    </w:p>
    <w:tbl>
      <w:tblPr>
        <w:tblStyle w:val="10"/>
        <w:tblW w:w="8291"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394"/>
        <w:gridCol w:w="3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  号</w:t>
            </w:r>
          </w:p>
        </w:tc>
        <w:tc>
          <w:tcPr>
            <w:tcW w:w="3394"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  目</w:t>
            </w:r>
          </w:p>
        </w:tc>
        <w:tc>
          <w:tcPr>
            <w:tcW w:w="3293"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604" w:type="dxa"/>
            <w:tcBorders>
              <w:top w:val="single" w:color="auto" w:sz="8"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394" w:type="dxa"/>
            <w:tcBorders>
              <w:top w:val="single" w:color="auto" w:sz="8"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色  泽</w:t>
            </w:r>
          </w:p>
        </w:tc>
        <w:tc>
          <w:tcPr>
            <w:tcW w:w="3293" w:type="dxa"/>
            <w:tcBorders>
              <w:top w:val="single" w:color="auto" w:sz="8"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80" w:firstLineChars="10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黄褐色至棕褐色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39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组织形态</w:t>
            </w:r>
          </w:p>
        </w:tc>
        <w:tc>
          <w:tcPr>
            <w:tcW w:w="329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80" w:firstLineChars="10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粉末，无结块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0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39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滋味、气味</w:t>
            </w:r>
          </w:p>
        </w:tc>
        <w:tc>
          <w:tcPr>
            <w:tcW w:w="329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80" w:firstLineChars="1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具有本产品特有滋味、气味，无异味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394" w:type="dxa"/>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杂  质</w:t>
            </w:r>
          </w:p>
        </w:tc>
        <w:tc>
          <w:tcPr>
            <w:tcW w:w="3293" w:type="dxa"/>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无正常视力可见外来杂质</w:t>
            </w:r>
          </w:p>
        </w:tc>
      </w:tr>
    </w:tbl>
    <w:p>
      <w:pPr>
        <w:snapToGrid w:val="0"/>
        <w:spacing w:before="124" w:beforeLines="40" w:after="124" w:afterLines="40" w:line="360" w:lineRule="auto"/>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275330" cy="3275330"/>
            <wp:effectExtent l="0" t="0" r="127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3275330" cy="3275330"/>
                    </a:xfrm>
                    <a:prstGeom prst="rect">
                      <a:avLst/>
                    </a:prstGeom>
                    <a:noFill/>
                    <a:ln w="9525">
                      <a:noFill/>
                    </a:ln>
                  </pic:spPr>
                </pic:pic>
              </a:graphicData>
            </a:graphic>
          </wp:inline>
        </w:drawing>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2）理化指标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水分指标参考GB/T 29602-2013《固体饮料》并结合企业验证数据确定。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灰分指标参考GH/T 1335-2021《</w:t>
      </w:r>
      <w:r>
        <w:rPr>
          <w:rFonts w:hint="default"/>
          <w:sz w:val="24"/>
          <w:lang w:val="en-US" w:eastAsia="zh-CN"/>
        </w:rPr>
        <w:t>灵芝孢子粉</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细度按照企业和专家意见，以过20目筛通过率计。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粗多糖，由于培养基的存在，通常高于灵芝孢子粉，经验证试验确定指标。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总三萜，参考GH/T 1335-2021《</w:t>
      </w:r>
      <w:r>
        <w:rPr>
          <w:rFonts w:hint="default"/>
          <w:sz w:val="24"/>
          <w:lang w:val="en-US" w:eastAsia="zh-CN"/>
        </w:rPr>
        <w:t>灵芝孢子粉</w:t>
      </w:r>
      <w:r>
        <w:rPr>
          <w:rFonts w:hint="eastAsia"/>
          <w:sz w:val="24"/>
          <w:lang w:val="en-US" w:eastAsia="zh-CN"/>
        </w:rPr>
        <w:t>》指标但略低于灵芝孢子粉。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具体要求见表2，相关验证试验数据附后。</w:t>
      </w:r>
    </w:p>
    <w:p>
      <w:pPr>
        <w:snapToGrid w:val="0"/>
        <w:spacing w:before="124" w:beforeLines="40" w:after="124" w:afterLines="40" w:line="360" w:lineRule="auto"/>
        <w:jc w:val="center"/>
        <w:rPr>
          <w:rFonts w:hint="eastAsia"/>
          <w:sz w:val="24"/>
          <w:lang w:val="en-US" w:eastAsia="zh-CN"/>
        </w:rPr>
      </w:pPr>
      <w:r>
        <w:rPr>
          <w:rFonts w:hint="eastAsia"/>
          <w:sz w:val="24"/>
          <w:lang w:val="en-US" w:eastAsia="zh-CN"/>
        </w:rPr>
        <w:t>表2 理化指标</w:t>
      </w:r>
    </w:p>
    <w:tbl>
      <w:tblPr>
        <w:tblStyle w:val="10"/>
        <w:tblW w:w="8553"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413"/>
        <w:gridCol w:w="3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96" w:type="dxa"/>
            <w:tcBorders>
              <w:bottom w:val="single" w:color="auto" w:sz="8" w:space="0"/>
            </w:tcBorders>
            <w:vAlign w:val="center"/>
          </w:tcPr>
          <w:p>
            <w:pPr>
              <w:pStyle w:val="16"/>
              <w:ind w:firstLine="0" w:firstLineChars="0"/>
              <w:jc w:val="center"/>
              <w:rPr>
                <w:rFonts w:cs="Times New Roman"/>
                <w:sz w:val="18"/>
                <w:szCs w:val="18"/>
                <w:highlight w:val="none"/>
              </w:rPr>
            </w:pPr>
            <w:r>
              <w:rPr>
                <w:rFonts w:cs="Times New Roman"/>
                <w:sz w:val="18"/>
                <w:szCs w:val="18"/>
                <w:highlight w:val="none"/>
              </w:rPr>
              <w:t>序</w:t>
            </w:r>
            <w:r>
              <w:rPr>
                <w:rFonts w:hint="eastAsia" w:cs="Times New Roman"/>
                <w:sz w:val="18"/>
                <w:szCs w:val="18"/>
                <w:highlight w:val="none"/>
              </w:rPr>
              <w:t xml:space="preserve">  </w:t>
            </w:r>
            <w:r>
              <w:rPr>
                <w:rFonts w:cs="Times New Roman"/>
                <w:sz w:val="18"/>
                <w:szCs w:val="18"/>
                <w:highlight w:val="none"/>
              </w:rPr>
              <w:t>号</w:t>
            </w:r>
          </w:p>
        </w:tc>
        <w:tc>
          <w:tcPr>
            <w:tcW w:w="3413" w:type="dxa"/>
            <w:tcBorders>
              <w:bottom w:val="single" w:color="auto" w:sz="8" w:space="0"/>
            </w:tcBorders>
            <w:vAlign w:val="center"/>
          </w:tcPr>
          <w:p>
            <w:pPr>
              <w:pStyle w:val="16"/>
              <w:ind w:firstLine="0" w:firstLineChars="0"/>
              <w:jc w:val="center"/>
              <w:rPr>
                <w:rFonts w:cs="Times New Roman"/>
                <w:sz w:val="18"/>
                <w:szCs w:val="18"/>
                <w:highlight w:val="none"/>
              </w:rPr>
            </w:pPr>
            <w:r>
              <w:rPr>
                <w:rFonts w:cs="Times New Roman"/>
                <w:sz w:val="18"/>
                <w:szCs w:val="18"/>
                <w:highlight w:val="none"/>
              </w:rPr>
              <w:t>项</w:t>
            </w:r>
            <w:r>
              <w:rPr>
                <w:rFonts w:hint="eastAsia" w:cs="Times New Roman"/>
                <w:sz w:val="18"/>
                <w:szCs w:val="18"/>
                <w:highlight w:val="none"/>
              </w:rPr>
              <w:t xml:space="preserve">  </w:t>
            </w:r>
            <w:r>
              <w:rPr>
                <w:rFonts w:cs="Times New Roman"/>
                <w:sz w:val="18"/>
                <w:szCs w:val="18"/>
                <w:highlight w:val="none"/>
              </w:rPr>
              <w:t>目</w:t>
            </w:r>
          </w:p>
        </w:tc>
        <w:tc>
          <w:tcPr>
            <w:tcW w:w="3544" w:type="dxa"/>
            <w:tcBorders>
              <w:bottom w:val="single" w:color="auto" w:sz="8" w:space="0"/>
            </w:tcBorders>
            <w:vAlign w:val="center"/>
          </w:tcPr>
          <w:p>
            <w:pPr>
              <w:pStyle w:val="16"/>
              <w:ind w:firstLine="0" w:firstLineChars="0"/>
              <w:jc w:val="center"/>
              <w:rPr>
                <w:rFonts w:cs="Times New Roman"/>
                <w:sz w:val="18"/>
                <w:szCs w:val="18"/>
                <w:highlight w:val="none"/>
              </w:rPr>
            </w:pPr>
            <w:r>
              <w:rPr>
                <w:rFonts w:cs="Times New Roman"/>
                <w:sz w:val="18"/>
                <w:szCs w:val="18"/>
                <w:highlight w:val="none"/>
              </w:rPr>
              <w:t>要</w:t>
            </w:r>
            <w:r>
              <w:rPr>
                <w:rFonts w:hint="eastAsia" w:cs="Times New Roman"/>
                <w:sz w:val="18"/>
                <w:szCs w:val="18"/>
                <w:highlight w:val="none"/>
              </w:rPr>
              <w:t xml:space="preserve">  </w:t>
            </w:r>
            <w:r>
              <w:rPr>
                <w:rFonts w:cs="Times New Roman"/>
                <w:sz w:val="18"/>
                <w:szCs w:val="18"/>
                <w:highlight w:val="none"/>
              </w:rPr>
              <w:t>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16"/>
              <w:ind w:firstLine="0" w:firstLineChars="0"/>
              <w:jc w:val="center"/>
              <w:rPr>
                <w:rFonts w:hint="eastAsia" w:cs="Times New Roman"/>
                <w:sz w:val="18"/>
                <w:szCs w:val="18"/>
                <w:lang w:eastAsia="zh-CN"/>
              </w:rPr>
            </w:pPr>
            <w:r>
              <w:rPr>
                <w:rFonts w:hint="eastAsia" w:cs="Times New Roman"/>
                <w:sz w:val="18"/>
                <w:szCs w:val="18"/>
                <w:lang w:val="en-US" w:eastAsia="zh-CN"/>
              </w:rPr>
              <w:t>1</w:t>
            </w:r>
          </w:p>
        </w:tc>
        <w:tc>
          <w:tcPr>
            <w:tcW w:w="3413" w:type="dxa"/>
            <w:tcBorders>
              <w:top w:val="single" w:color="auto" w:sz="4" w:space="0"/>
              <w:bottom w:val="single" w:color="auto" w:sz="4" w:space="0"/>
            </w:tcBorders>
            <w:vAlign w:val="center"/>
          </w:tcPr>
          <w:p>
            <w:pPr>
              <w:pStyle w:val="16"/>
              <w:ind w:firstLine="0" w:firstLineChars="0"/>
              <w:jc w:val="right"/>
              <w:rPr>
                <w:rFonts w:hint="eastAsia" w:cs="Times New Roman"/>
                <w:sz w:val="18"/>
                <w:szCs w:val="18"/>
              </w:rPr>
            </w:pPr>
            <w:r>
              <w:rPr>
                <w:rFonts w:hint="eastAsia" w:cs="Times New Roman"/>
                <w:sz w:val="18"/>
                <w:szCs w:val="18"/>
              </w:rPr>
              <w:t xml:space="preserve">         水分/（</w:t>
            </w:r>
            <w:r>
              <w:rPr>
                <w:rFonts w:hint="eastAsia" w:cs="Times New Roman"/>
                <w:sz w:val="18"/>
                <w:szCs w:val="18"/>
                <w:lang w:val="en-US" w:eastAsia="zh-CN"/>
              </w:rPr>
              <w:t>g/100g</w:t>
            </w:r>
            <w:r>
              <w:rPr>
                <w:rFonts w:hint="eastAsia" w:cs="Times New Roman"/>
                <w:sz w:val="18"/>
                <w:szCs w:val="18"/>
              </w:rPr>
              <w:t xml:space="preserve">）     </w:t>
            </w:r>
            <w:r>
              <w:rPr>
                <w:rFonts w:hint="eastAsia" w:cs="Times New Roman"/>
                <w:sz w:val="18"/>
                <w:szCs w:val="18"/>
                <w:lang w:val="en-US" w:eastAsia="zh-CN"/>
              </w:rPr>
              <w:t xml:space="preserve">   </w:t>
            </w:r>
            <w:r>
              <w:rPr>
                <w:rFonts w:hint="eastAsia" w:cs="Times New Roman"/>
                <w:sz w:val="18"/>
                <w:szCs w:val="18"/>
              </w:rPr>
              <w:t>≤</w:t>
            </w:r>
          </w:p>
        </w:tc>
        <w:tc>
          <w:tcPr>
            <w:tcW w:w="3544"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 xml:space="preserve">8.0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2</w:t>
            </w:r>
          </w:p>
        </w:tc>
        <w:tc>
          <w:tcPr>
            <w:tcW w:w="3413" w:type="dxa"/>
            <w:tcBorders>
              <w:top w:val="single" w:color="auto" w:sz="4" w:space="0"/>
              <w:bottom w:val="single" w:color="auto" w:sz="4" w:space="0"/>
            </w:tcBorders>
            <w:vAlign w:val="center"/>
          </w:tcPr>
          <w:p>
            <w:pPr>
              <w:pStyle w:val="16"/>
              <w:ind w:firstLine="0" w:firstLineChars="0"/>
              <w:jc w:val="right"/>
              <w:rPr>
                <w:rFonts w:hint="eastAsia" w:eastAsia="宋体" w:cs="Times New Roman"/>
                <w:sz w:val="18"/>
                <w:szCs w:val="18"/>
                <w:lang w:val="en-US" w:eastAsia="zh-CN"/>
              </w:rPr>
            </w:pPr>
            <w:r>
              <w:rPr>
                <w:rFonts w:hint="eastAsia" w:cs="Times New Roman"/>
                <w:sz w:val="18"/>
                <w:szCs w:val="18"/>
                <w:lang w:val="en-US" w:eastAsia="zh-CN"/>
              </w:rPr>
              <w:t>灰分</w:t>
            </w:r>
            <w:r>
              <w:rPr>
                <w:rFonts w:hint="eastAsia" w:cs="Times New Roman"/>
                <w:sz w:val="18"/>
                <w:szCs w:val="18"/>
              </w:rPr>
              <w:t>/（</w:t>
            </w:r>
            <w:r>
              <w:rPr>
                <w:rFonts w:hint="eastAsia" w:cs="Times New Roman"/>
                <w:sz w:val="18"/>
                <w:szCs w:val="18"/>
                <w:lang w:val="en-US" w:eastAsia="zh-CN"/>
              </w:rPr>
              <w:t>g/100g</w:t>
            </w:r>
            <w:r>
              <w:rPr>
                <w:rFonts w:hint="eastAsia" w:cs="Times New Roman"/>
                <w:sz w:val="18"/>
                <w:szCs w:val="18"/>
              </w:rPr>
              <w:t>）</w:t>
            </w:r>
            <w:r>
              <w:rPr>
                <w:rFonts w:hint="eastAsia" w:cs="Times New Roman"/>
                <w:sz w:val="18"/>
                <w:szCs w:val="18"/>
                <w:lang w:val="en-US" w:eastAsia="zh-CN"/>
              </w:rPr>
              <w:t xml:space="preserve">        </w:t>
            </w:r>
            <w:r>
              <w:rPr>
                <w:rFonts w:hint="eastAsia" w:cs="Times New Roman"/>
                <w:sz w:val="18"/>
                <w:szCs w:val="18"/>
              </w:rPr>
              <w:t>≤</w:t>
            </w:r>
          </w:p>
        </w:tc>
        <w:tc>
          <w:tcPr>
            <w:tcW w:w="3544"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3</w:t>
            </w:r>
          </w:p>
        </w:tc>
        <w:tc>
          <w:tcPr>
            <w:tcW w:w="3413" w:type="dxa"/>
            <w:tcBorders>
              <w:top w:val="single" w:color="auto" w:sz="4" w:space="0"/>
              <w:bottom w:val="single" w:color="auto" w:sz="4" w:space="0"/>
            </w:tcBorders>
            <w:vAlign w:val="center"/>
          </w:tcPr>
          <w:p>
            <w:pPr>
              <w:pStyle w:val="16"/>
              <w:ind w:left="0" w:leftChars="0" w:firstLine="0" w:firstLineChars="0"/>
              <w:jc w:val="both"/>
              <w:rPr>
                <w:rFonts w:hint="eastAsia" w:eastAsia="宋体" w:cs="Times New Roman"/>
                <w:sz w:val="18"/>
                <w:szCs w:val="18"/>
                <w:lang w:val="en-US" w:eastAsia="zh-CN"/>
              </w:rPr>
            </w:pPr>
            <w:r>
              <w:rPr>
                <w:rFonts w:hint="eastAsia" w:cs="Times New Roman"/>
                <w:sz w:val="18"/>
                <w:szCs w:val="18"/>
                <w:lang w:val="en-US" w:eastAsia="zh-CN"/>
              </w:rPr>
              <w:t>细度（以过100目筛通过率计）/（%） ≥</w:t>
            </w:r>
          </w:p>
        </w:tc>
        <w:tc>
          <w:tcPr>
            <w:tcW w:w="3544"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highlight w:val="none"/>
                <w:lang w:val="en-US" w:eastAsia="zh-CN"/>
              </w:rPr>
            </w:pPr>
            <w:r>
              <w:rPr>
                <w:rFonts w:hint="eastAsia" w:cs="Times New Roman"/>
                <w:sz w:val="18"/>
                <w:szCs w:val="18"/>
                <w:highlight w:val="none"/>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4</w:t>
            </w:r>
          </w:p>
        </w:tc>
        <w:tc>
          <w:tcPr>
            <w:tcW w:w="3413" w:type="dxa"/>
            <w:tcBorders>
              <w:top w:val="single" w:color="auto" w:sz="4" w:space="0"/>
              <w:bottom w:val="single" w:color="auto" w:sz="4" w:space="0"/>
            </w:tcBorders>
            <w:vAlign w:val="center"/>
          </w:tcPr>
          <w:p>
            <w:pPr>
              <w:pStyle w:val="16"/>
              <w:ind w:firstLine="0" w:firstLineChars="0"/>
              <w:jc w:val="right"/>
              <w:rPr>
                <w:rFonts w:hint="eastAsia" w:cs="Times New Roman"/>
                <w:sz w:val="18"/>
                <w:szCs w:val="18"/>
                <w:lang w:val="en-US" w:eastAsia="zh-CN"/>
              </w:rPr>
            </w:pPr>
            <w:r>
              <w:rPr>
                <w:rFonts w:hint="eastAsia" w:cs="Times New Roman"/>
                <w:sz w:val="18"/>
                <w:szCs w:val="18"/>
                <w:lang w:val="en-US" w:eastAsia="zh-CN"/>
              </w:rPr>
              <w:t>粗多糖（以葡萄糖计）/（%） ≥</w:t>
            </w:r>
          </w:p>
        </w:tc>
        <w:tc>
          <w:tcPr>
            <w:tcW w:w="3544" w:type="dxa"/>
            <w:tcBorders>
              <w:top w:val="single" w:color="auto" w:sz="4" w:space="0"/>
              <w:bottom w:val="single" w:color="auto" w:sz="4" w:space="0"/>
            </w:tcBorders>
            <w:vAlign w:val="center"/>
          </w:tcPr>
          <w:p>
            <w:pPr>
              <w:pStyle w:val="16"/>
              <w:ind w:firstLine="0" w:firstLineChars="0"/>
              <w:jc w:val="center"/>
              <w:rPr>
                <w:rFonts w:hint="default" w:cs="Times New Roman"/>
                <w:sz w:val="18"/>
                <w:szCs w:val="18"/>
                <w:highlight w:val="none"/>
                <w:lang w:val="en-US" w:eastAsia="zh-CN"/>
              </w:rPr>
            </w:pPr>
            <w:r>
              <w:rPr>
                <w:rFonts w:hint="eastAsia" w:cs="Times New Roman"/>
                <w:sz w:val="18"/>
                <w:szCs w:val="18"/>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596" w:type="dxa"/>
            <w:tcBorders>
              <w:top w:val="single" w:color="auto" w:sz="4" w:space="0"/>
              <w:bottom w:val="single" w:color="auto" w:sz="8" w:space="0"/>
            </w:tcBorders>
            <w:vAlign w:val="center"/>
          </w:tcPr>
          <w:p>
            <w:pPr>
              <w:pStyle w:val="16"/>
              <w:ind w:firstLine="0" w:firstLineChars="0"/>
              <w:jc w:val="center"/>
              <w:rPr>
                <w:rFonts w:hint="default" w:cs="Times New Roman"/>
                <w:sz w:val="18"/>
                <w:szCs w:val="18"/>
                <w:lang w:val="en-US" w:eastAsia="zh-CN"/>
              </w:rPr>
            </w:pPr>
            <w:r>
              <w:rPr>
                <w:rFonts w:hint="eastAsia" w:cs="Times New Roman"/>
                <w:sz w:val="18"/>
                <w:szCs w:val="18"/>
                <w:lang w:val="en-US" w:eastAsia="zh-CN"/>
              </w:rPr>
              <w:t>5</w:t>
            </w:r>
          </w:p>
        </w:tc>
        <w:tc>
          <w:tcPr>
            <w:tcW w:w="3413" w:type="dxa"/>
            <w:tcBorders>
              <w:top w:val="single" w:color="auto" w:sz="4" w:space="0"/>
              <w:bottom w:val="single" w:color="auto" w:sz="8" w:space="0"/>
            </w:tcBorders>
            <w:vAlign w:val="center"/>
          </w:tcPr>
          <w:p>
            <w:pPr>
              <w:pStyle w:val="16"/>
              <w:ind w:firstLine="0" w:firstLineChars="0"/>
              <w:jc w:val="right"/>
              <w:rPr>
                <w:rFonts w:hint="eastAsia" w:cs="Times New Roman"/>
                <w:sz w:val="18"/>
                <w:szCs w:val="18"/>
                <w:lang w:val="en-US" w:eastAsia="zh-CN"/>
              </w:rPr>
            </w:pPr>
            <w:r>
              <w:rPr>
                <w:rFonts w:hint="eastAsia" w:cs="Times New Roman"/>
                <w:sz w:val="18"/>
                <w:szCs w:val="18"/>
                <w:lang w:val="en-US" w:eastAsia="zh-CN"/>
              </w:rPr>
              <w:t>总三萜（以熊果酸计）/（g/100g） ≥</w:t>
            </w:r>
          </w:p>
        </w:tc>
        <w:tc>
          <w:tcPr>
            <w:tcW w:w="3544" w:type="dxa"/>
            <w:tcBorders>
              <w:top w:val="single" w:color="auto" w:sz="4" w:space="0"/>
              <w:bottom w:val="single" w:color="auto" w:sz="8" w:space="0"/>
            </w:tcBorders>
            <w:vAlign w:val="center"/>
          </w:tcPr>
          <w:p>
            <w:pPr>
              <w:pStyle w:val="16"/>
              <w:ind w:firstLine="0" w:firstLineChars="0"/>
              <w:jc w:val="center"/>
              <w:rPr>
                <w:rFonts w:hint="default" w:cs="Times New Roman"/>
                <w:sz w:val="18"/>
                <w:szCs w:val="18"/>
                <w:highlight w:val="none"/>
                <w:lang w:val="en-US" w:eastAsia="zh-CN"/>
              </w:rPr>
            </w:pPr>
            <w:r>
              <w:rPr>
                <w:rFonts w:hint="eastAsia" w:cs="Times New Roman"/>
                <w:sz w:val="18"/>
                <w:szCs w:val="18"/>
                <w:highlight w:val="none"/>
                <w:lang w:val="en-US" w:eastAsia="zh-CN"/>
              </w:rPr>
              <w:t>0.3</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lang w:val="en-US" w:eastAsia="zh-CN"/>
        </w:rPr>
      </w:pPr>
      <w:r>
        <w:rPr>
          <w:rFonts w:hint="eastAsia"/>
          <w:sz w:val="24"/>
          <w:lang w:val="en-US" w:eastAsia="zh-CN"/>
        </w:rPr>
        <w:t>3）</w:t>
      </w:r>
      <w:bookmarkStart w:id="4" w:name="_Toc418"/>
      <w:r>
        <w:rPr>
          <w:rFonts w:hint="eastAsia"/>
          <w:sz w:val="24"/>
          <w:lang w:val="en-US" w:eastAsia="zh-CN"/>
        </w:rPr>
        <w:t>污染物限量</w:t>
      </w:r>
      <w:bookmarkEnd w:id="4"/>
      <w:r>
        <w:rPr>
          <w:rFonts w:hint="eastAsia"/>
          <w:sz w:val="24"/>
          <w:lang w:val="en-US" w:eastAsia="zh-CN"/>
        </w:rPr>
        <w:t>、</w:t>
      </w:r>
      <w:bookmarkStart w:id="5" w:name="_Toc12565"/>
      <w:bookmarkStart w:id="6" w:name="_Toc17513"/>
      <w:r>
        <w:rPr>
          <w:rFonts w:hint="eastAsia"/>
          <w:sz w:val="24"/>
          <w:lang w:val="en-US" w:eastAsia="zh-CN"/>
        </w:rPr>
        <w:t>微生物限量</w:t>
      </w:r>
      <w:bookmarkEnd w:id="5"/>
      <w:bookmarkEnd w:id="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lang w:val="en-US" w:eastAsia="zh-CN"/>
        </w:rPr>
      </w:pPr>
      <w:r>
        <w:rPr>
          <w:rFonts w:hint="eastAsia"/>
          <w:sz w:val="24"/>
          <w:lang w:val="en-US" w:eastAsia="zh-CN"/>
        </w:rPr>
        <w:t>参考GB 7101-2015《食品安全国家标准 饮料》及相关食品安全国家标准。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三、与现行法律法规、强制性标准和其他有关标准的关系，采用国际标准的程度及水平简要说明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rPr>
      </w:pPr>
      <w:r>
        <w:rPr>
          <w:rFonts w:hint="eastAsia"/>
          <w:sz w:val="24"/>
        </w:rPr>
        <w:t>本标准与现行法律法规、强制性标准和其他有关标准协调一致。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rPr>
      </w:pPr>
      <w:r>
        <w:rPr>
          <w:rFonts w:hint="eastAsia"/>
          <w:sz w:val="24"/>
        </w:rPr>
        <w:t>本标准制定过程中未查询到国际标准。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四、重大分歧意见的处理结果和依据。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rPr>
      </w:pPr>
      <w:r>
        <w:rPr>
          <w:rFonts w:hint="eastAsia"/>
          <w:sz w:val="24"/>
        </w:rPr>
        <w:t>本标准制定过程中无重大分歧意见。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五、贯彻促进会标准的要求和措施建议（包括组织措施、技术措施、过渡办法等内容）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sz w:val="24"/>
          <w:lang w:val="en-US" w:eastAsia="zh-CN"/>
        </w:rPr>
      </w:pPr>
      <w:r>
        <w:rPr>
          <w:rFonts w:hint="eastAsia"/>
          <w:sz w:val="24"/>
          <w:lang w:val="en-US" w:eastAsia="zh-CN"/>
        </w:rPr>
        <w:t>建议发布即实施。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sz w:val="24"/>
        </w:rPr>
      </w:pPr>
      <w:r>
        <w:rPr>
          <w:rFonts w:hint="eastAsia" w:ascii="黑体" w:eastAsia="黑体"/>
          <w:sz w:val="24"/>
        </w:rPr>
        <w:t>六、其他应予说明的事项。</w:t>
      </w:r>
    </w:p>
    <w:p>
      <w:pPr>
        <w:pStyle w:val="18"/>
        <w:spacing w:line="360" w:lineRule="auto"/>
        <w:ind w:firstLine="480"/>
        <w:rPr>
          <w:rFonts w:hint="eastAsia" w:ascii="ˎ̥" w:hAnsi="ˎ̥"/>
          <w:sz w:val="24"/>
          <w:lang w:val="en-US" w:eastAsia="zh-CN"/>
        </w:rPr>
      </w:pPr>
      <w:r>
        <w:rPr>
          <w:rFonts w:hint="eastAsia" w:ascii="ˎ̥" w:hAnsi="ˎ̥"/>
          <w:sz w:val="24"/>
          <w:lang w:val="en-US" w:eastAsia="zh-CN"/>
        </w:rPr>
        <w:t>无。</w:t>
      </w:r>
    </w:p>
    <w:p>
      <w:pPr>
        <w:pStyle w:val="18"/>
        <w:spacing w:line="360" w:lineRule="auto"/>
        <w:ind w:left="0" w:leftChars="0" w:firstLine="0" w:firstLineChars="0"/>
        <w:rPr>
          <w:rFonts w:hint="eastAsia" w:ascii="ˎ̥" w:hAnsi="ˎ̥"/>
          <w:sz w:val="24"/>
          <w:lang w:val="en-US" w:eastAsia="zh-CN"/>
        </w:rPr>
      </w:pPr>
    </w:p>
    <w:p>
      <w:pPr>
        <w:pStyle w:val="18"/>
        <w:spacing w:line="360" w:lineRule="auto"/>
        <w:ind w:left="0" w:leftChars="0" w:firstLine="0" w:firstLineChars="0"/>
        <w:rPr>
          <w:rFonts w:hint="eastAsia" w:ascii="ˎ̥" w:hAnsi="ˎ̥"/>
          <w:sz w:val="24"/>
          <w:lang w:val="en-US" w:eastAsia="zh-CN"/>
        </w:rPr>
      </w:pPr>
      <w:bookmarkStart w:id="7" w:name="_GoBack"/>
      <w:bookmarkEnd w:id="7"/>
    </w:p>
    <w:p>
      <w:pPr>
        <w:pStyle w:val="18"/>
        <w:spacing w:line="360" w:lineRule="auto"/>
        <w:ind w:left="0" w:leftChars="0" w:firstLine="0" w:firstLineChars="0"/>
        <w:rPr>
          <w:rFonts w:hint="eastAsia" w:ascii="ˎ̥" w:hAnsi="ˎ̥"/>
          <w:sz w:val="24"/>
          <w:lang w:val="en-US" w:eastAsia="zh-CN"/>
        </w:rPr>
      </w:pPr>
      <w:r>
        <w:rPr>
          <w:rFonts w:hint="eastAsia" w:ascii="ˎ̥" w:hAnsi="ˎ̥"/>
          <w:sz w:val="24"/>
          <w:lang w:val="en-US" w:eastAsia="zh-CN"/>
        </w:rPr>
        <w:t>附验证数据：</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05621605"/>
                  <w:docPartObj>
                    <w:docPartGallery w:val="autotext"/>
                  </w:docPartObj>
                </w:sdtPr>
                <w:sdtContent>
                  <w:sdt>
                    <w:sdtPr>
                      <w:id w:val="-1705238520"/>
                      <w:docPartObj>
                        <w:docPartGallery w:val="autotext"/>
                      </w:docPartObj>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2610F"/>
    <w:multiLevelType w:val="multilevel"/>
    <w:tmpl w:val="2E32610F"/>
    <w:lvl w:ilvl="0" w:tentative="0">
      <w:start w:val="1"/>
      <w:numFmt w:val="decimal"/>
      <w:pStyle w:val="39"/>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1">
    <w:nsid w:val="3D1C17D8"/>
    <w:multiLevelType w:val="multilevel"/>
    <w:tmpl w:val="3D1C17D8"/>
    <w:lvl w:ilvl="0" w:tentative="0">
      <w:start w:val="1"/>
      <w:numFmt w:val="decimal"/>
      <w:pStyle w:val="38"/>
      <w:lvlText w:val="表%1 "/>
      <w:lvlJc w:val="left"/>
      <w:pPr>
        <w:ind w:left="1890" w:hanging="420"/>
      </w:pPr>
      <w:rPr>
        <w:rFonts w:hint="default" w:ascii="黑体" w:hAnsi="黑体" w:eastAsia="黑体" w:cs="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pStyle w:val="31"/>
      <w:suff w:val="nothing"/>
      <w:lvlText w:val="%1"/>
      <w:lvlJc w:val="left"/>
      <w:rPr>
        <w:rFonts w:hint="default" w:ascii="Times New Roman" w:hAnsi="Times New Roman" w:cs="Times New Roman"/>
        <w:b/>
        <w:bCs/>
        <w:i w:val="0"/>
        <w:iCs w:val="0"/>
        <w:sz w:val="21"/>
        <w:szCs w:val="21"/>
      </w:rPr>
    </w:lvl>
    <w:lvl w:ilvl="1" w:tentative="0">
      <w:start w:val="1"/>
      <w:numFmt w:val="decimal"/>
      <w:pStyle w:val="25"/>
      <w:suff w:val="nothing"/>
      <w:lvlText w:val="%1%2　"/>
      <w:lvlJc w:val="left"/>
      <w:rPr>
        <w:rFonts w:hint="eastAsia" w:ascii="黑体" w:hAnsi="Times New Roman" w:eastAsia="黑体"/>
        <w:b w:val="0"/>
        <w:bCs w:val="0"/>
        <w:i w:val="0"/>
        <w:iCs w:val="0"/>
        <w:sz w:val="21"/>
        <w:szCs w:val="21"/>
      </w:rPr>
    </w:lvl>
    <w:lvl w:ilvl="2" w:tentative="0">
      <w:start w:val="1"/>
      <w:numFmt w:val="decimal"/>
      <w:pStyle w:val="30"/>
      <w:suff w:val="nothing"/>
      <w:lvlText w:val="%1%2.%3　"/>
      <w:lvlJc w:val="left"/>
      <w:rPr>
        <w:rFonts w:hint="eastAsia" w:ascii="黑体" w:hAnsi="Times New Roman" w:eastAsia="黑体"/>
        <w:b w:val="0"/>
        <w:bCs w:val="0"/>
        <w:i w:val="0"/>
        <w:iCs w:val="0"/>
        <w:sz w:val="21"/>
        <w:szCs w:val="21"/>
      </w:rPr>
    </w:lvl>
    <w:lvl w:ilvl="3" w:tentative="0">
      <w:start w:val="1"/>
      <w:numFmt w:val="decimal"/>
      <w:pStyle w:val="26"/>
      <w:suff w:val="nothing"/>
      <w:lvlText w:val="%1%2.%3.%4　"/>
      <w:lvlJc w:val="left"/>
      <w:rPr>
        <w:rFonts w:hint="eastAsia" w:ascii="黑体" w:hAnsi="Times New Roman" w:eastAsia="黑体"/>
        <w:b w:val="0"/>
        <w:bCs w:val="0"/>
        <w:i w:val="0"/>
        <w:iCs w:val="0"/>
        <w:sz w:val="21"/>
        <w:szCs w:val="21"/>
      </w:rPr>
    </w:lvl>
    <w:lvl w:ilvl="4" w:tentative="0">
      <w:start w:val="1"/>
      <w:numFmt w:val="decimal"/>
      <w:pStyle w:val="27"/>
      <w:suff w:val="nothing"/>
      <w:lvlText w:val="%1%2.%3.%4.%5　"/>
      <w:lvlJc w:val="left"/>
      <w:rPr>
        <w:rFonts w:hint="eastAsia" w:ascii="黑体" w:hAnsi="Times New Roman" w:eastAsia="黑体"/>
        <w:b w:val="0"/>
        <w:bCs w:val="0"/>
        <w:i w:val="0"/>
        <w:iCs w:val="0"/>
        <w:sz w:val="21"/>
        <w:szCs w:val="21"/>
      </w:rPr>
    </w:lvl>
    <w:lvl w:ilvl="5" w:tentative="0">
      <w:start w:val="1"/>
      <w:numFmt w:val="decimal"/>
      <w:pStyle w:val="28"/>
      <w:suff w:val="nothing"/>
      <w:lvlText w:val="%1%2.%3.%4.%5.%6　"/>
      <w:lvlJc w:val="left"/>
      <w:rPr>
        <w:rFonts w:hint="eastAsia" w:ascii="黑体" w:hAnsi="Times New Roman" w:eastAsia="黑体"/>
        <w:b w:val="0"/>
        <w:bCs w:val="0"/>
        <w:i w:val="0"/>
        <w:iCs w:val="0"/>
        <w:sz w:val="21"/>
        <w:szCs w:val="21"/>
      </w:rPr>
    </w:lvl>
    <w:lvl w:ilvl="6" w:tentative="0">
      <w:start w:val="1"/>
      <w:numFmt w:val="decimal"/>
      <w:pStyle w:val="2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djNjM4NjE4NDQ3MzRkMGIyMWJjYzY1YzA1MzEzOWQifQ=="/>
  </w:docVars>
  <w:rsids>
    <w:rsidRoot w:val="00980DE8"/>
    <w:rsid w:val="00096CEA"/>
    <w:rsid w:val="000E41A4"/>
    <w:rsid w:val="000F3F68"/>
    <w:rsid w:val="00131AF5"/>
    <w:rsid w:val="001E01D2"/>
    <w:rsid w:val="001E0F25"/>
    <w:rsid w:val="00275370"/>
    <w:rsid w:val="002E529D"/>
    <w:rsid w:val="00306598"/>
    <w:rsid w:val="00314089"/>
    <w:rsid w:val="00317CA2"/>
    <w:rsid w:val="003618C2"/>
    <w:rsid w:val="00363CFE"/>
    <w:rsid w:val="003B3867"/>
    <w:rsid w:val="00417C7E"/>
    <w:rsid w:val="004A2DAF"/>
    <w:rsid w:val="004A630D"/>
    <w:rsid w:val="004E4598"/>
    <w:rsid w:val="0056750E"/>
    <w:rsid w:val="00582631"/>
    <w:rsid w:val="00586D2B"/>
    <w:rsid w:val="005922F7"/>
    <w:rsid w:val="005C3B7B"/>
    <w:rsid w:val="00610310"/>
    <w:rsid w:val="006215EE"/>
    <w:rsid w:val="00661108"/>
    <w:rsid w:val="0070085F"/>
    <w:rsid w:val="007A0069"/>
    <w:rsid w:val="008319E1"/>
    <w:rsid w:val="008739CA"/>
    <w:rsid w:val="00913F25"/>
    <w:rsid w:val="0095627D"/>
    <w:rsid w:val="00980DE8"/>
    <w:rsid w:val="00A24AEA"/>
    <w:rsid w:val="00A6002B"/>
    <w:rsid w:val="00A616FE"/>
    <w:rsid w:val="00A93A9E"/>
    <w:rsid w:val="00AF6299"/>
    <w:rsid w:val="00B1226B"/>
    <w:rsid w:val="00B761C8"/>
    <w:rsid w:val="00B7691D"/>
    <w:rsid w:val="00BB0DD5"/>
    <w:rsid w:val="00CE7D88"/>
    <w:rsid w:val="00D86041"/>
    <w:rsid w:val="00D90ABC"/>
    <w:rsid w:val="00DC3647"/>
    <w:rsid w:val="00DD0BBE"/>
    <w:rsid w:val="00DD62B8"/>
    <w:rsid w:val="00E147E8"/>
    <w:rsid w:val="00E14BD6"/>
    <w:rsid w:val="00E44777"/>
    <w:rsid w:val="00F215C9"/>
    <w:rsid w:val="00F614CD"/>
    <w:rsid w:val="00F74128"/>
    <w:rsid w:val="00F80398"/>
    <w:rsid w:val="00F9141C"/>
    <w:rsid w:val="00F965D6"/>
    <w:rsid w:val="00FB3AA3"/>
    <w:rsid w:val="00FC00BB"/>
    <w:rsid w:val="00FC12B7"/>
    <w:rsid w:val="00FD7E33"/>
    <w:rsid w:val="0322279A"/>
    <w:rsid w:val="035739D3"/>
    <w:rsid w:val="03817919"/>
    <w:rsid w:val="0551681E"/>
    <w:rsid w:val="06BC532B"/>
    <w:rsid w:val="0CD604FB"/>
    <w:rsid w:val="0D051A70"/>
    <w:rsid w:val="10B5717D"/>
    <w:rsid w:val="1134754D"/>
    <w:rsid w:val="12CD6FEE"/>
    <w:rsid w:val="14990670"/>
    <w:rsid w:val="1564194F"/>
    <w:rsid w:val="1726454E"/>
    <w:rsid w:val="17326629"/>
    <w:rsid w:val="17365EA8"/>
    <w:rsid w:val="17D9107A"/>
    <w:rsid w:val="186336D8"/>
    <w:rsid w:val="1C843955"/>
    <w:rsid w:val="1C9A7366"/>
    <w:rsid w:val="1E3C3081"/>
    <w:rsid w:val="1EB94A9A"/>
    <w:rsid w:val="20522232"/>
    <w:rsid w:val="21FF6A62"/>
    <w:rsid w:val="22DC6175"/>
    <w:rsid w:val="24254BA9"/>
    <w:rsid w:val="255516DE"/>
    <w:rsid w:val="29522794"/>
    <w:rsid w:val="2A63473C"/>
    <w:rsid w:val="2B3F45FF"/>
    <w:rsid w:val="2B760E79"/>
    <w:rsid w:val="2FF058D9"/>
    <w:rsid w:val="316B79E6"/>
    <w:rsid w:val="34D63D90"/>
    <w:rsid w:val="34DB2A67"/>
    <w:rsid w:val="35820E6C"/>
    <w:rsid w:val="35F72828"/>
    <w:rsid w:val="3701586F"/>
    <w:rsid w:val="395743A3"/>
    <w:rsid w:val="39940039"/>
    <w:rsid w:val="3A653607"/>
    <w:rsid w:val="3B972E61"/>
    <w:rsid w:val="3C9B1A25"/>
    <w:rsid w:val="3DA22677"/>
    <w:rsid w:val="3DE91BEB"/>
    <w:rsid w:val="3E13087D"/>
    <w:rsid w:val="3EEA56BA"/>
    <w:rsid w:val="3F227E5E"/>
    <w:rsid w:val="467328A4"/>
    <w:rsid w:val="47FC6ED2"/>
    <w:rsid w:val="49161FED"/>
    <w:rsid w:val="4D4D7562"/>
    <w:rsid w:val="4E3B1335"/>
    <w:rsid w:val="4E5726DB"/>
    <w:rsid w:val="4F8B21D5"/>
    <w:rsid w:val="4FBE7903"/>
    <w:rsid w:val="50A2107E"/>
    <w:rsid w:val="51012E61"/>
    <w:rsid w:val="511D6036"/>
    <w:rsid w:val="554B49EA"/>
    <w:rsid w:val="574551BC"/>
    <w:rsid w:val="57D840BE"/>
    <w:rsid w:val="5ABC0073"/>
    <w:rsid w:val="5CB07542"/>
    <w:rsid w:val="5CD31D13"/>
    <w:rsid w:val="5ECD6079"/>
    <w:rsid w:val="62BB6678"/>
    <w:rsid w:val="65C366ED"/>
    <w:rsid w:val="665E1F55"/>
    <w:rsid w:val="69841F9B"/>
    <w:rsid w:val="6D063DEF"/>
    <w:rsid w:val="6D942616"/>
    <w:rsid w:val="6DED665E"/>
    <w:rsid w:val="6EFC30C9"/>
    <w:rsid w:val="6F1B41FB"/>
    <w:rsid w:val="709E18E0"/>
    <w:rsid w:val="70CF0B30"/>
    <w:rsid w:val="712F4E89"/>
    <w:rsid w:val="7148382D"/>
    <w:rsid w:val="744163C8"/>
    <w:rsid w:val="76F033C8"/>
    <w:rsid w:val="7C317DEB"/>
    <w:rsid w:val="7C5F1B5A"/>
    <w:rsid w:val="7FE6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3"/>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cs="宋体"/>
      <w:lang w:val="zh-CN" w:bidi="zh-CN"/>
    </w:r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semiHidden/>
    <w:unhideWhenUsed/>
    <w:qFormat/>
    <w:uiPriority w:val="99"/>
    <w:pPr>
      <w:adjustRightInd w:val="0"/>
      <w:spacing w:line="400" w:lineRule="exact"/>
      <w:ind w:left="200" w:leftChars="200" w:hanging="200" w:hangingChars="200"/>
    </w:pPr>
    <w:rPr>
      <w:rFonts w:ascii="Calibri" w:hAnsi="Calibri" w:eastAsia="宋体" w:cs="Calibri"/>
      <w:szCs w:val="21"/>
    </w:rPr>
  </w:style>
  <w:style w:type="paragraph" w:styleId="8">
    <w:name w:val="HTML Preformatted"/>
    <w:basedOn w:val="1"/>
    <w:link w:val="3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customStyle="1" w:styleId="13">
    <w:name w:val="标题 3 字符"/>
    <w:basedOn w:val="11"/>
    <w:link w:val="3"/>
    <w:qFormat/>
    <w:uiPriority w:val="9"/>
    <w:rPr>
      <w:rFonts w:ascii="Calibri" w:hAnsi="Calibri" w:eastAsia="宋体" w:cs="Times New Roman"/>
      <w:b/>
      <w:bCs/>
      <w:sz w:val="32"/>
      <w:szCs w:val="32"/>
    </w:rPr>
  </w:style>
  <w:style w:type="character" w:customStyle="1" w:styleId="14">
    <w:name w:val="页眉 字符"/>
    <w:basedOn w:val="11"/>
    <w:link w:val="6"/>
    <w:qFormat/>
    <w:uiPriority w:val="99"/>
    <w:rPr>
      <w:rFonts w:ascii="Calibri" w:hAnsi="Calibri" w:eastAsia="宋体" w:cs="Times New Roman"/>
      <w:sz w:val="18"/>
      <w:szCs w:val="18"/>
    </w:rPr>
  </w:style>
  <w:style w:type="character" w:customStyle="1" w:styleId="15">
    <w:name w:val="页脚 字符"/>
    <w:basedOn w:val="11"/>
    <w:link w:val="5"/>
    <w:qFormat/>
    <w:uiPriority w:val="99"/>
    <w:rPr>
      <w:rFonts w:ascii="Calibri" w:hAnsi="Calibri" w:eastAsia="宋体" w:cs="Times New Roman"/>
      <w:sz w:val="18"/>
      <w:szCs w:val="18"/>
    </w:rPr>
  </w:style>
  <w:style w:type="paragraph" w:customStyle="1" w:styleId="16">
    <w:name w:val="段"/>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段 Char"/>
    <w:link w:val="16"/>
    <w:qFormat/>
    <w:uiPriority w:val="0"/>
    <w:rPr>
      <w:rFonts w:ascii="宋体" w:hAnsi="Times New Roman" w:eastAsia="宋体" w:cs="Times New Roman"/>
      <w:kern w:val="0"/>
      <w:szCs w:val="20"/>
    </w:rPr>
  </w:style>
  <w:style w:type="paragraph" w:customStyle="1" w:styleId="18">
    <w:name w:val="文章正文"/>
    <w:basedOn w:val="1"/>
    <w:link w:val="19"/>
    <w:qFormat/>
    <w:uiPriority w:val="0"/>
    <w:pPr>
      <w:ind w:firstLine="560" w:firstLineChars="200"/>
    </w:pPr>
    <w:rPr>
      <w:rFonts w:ascii="宋体" w:hAnsi="宋体"/>
      <w:color w:val="000000"/>
      <w:kern w:val="28"/>
      <w:sz w:val="28"/>
      <w:szCs w:val="28"/>
      <w:lang w:val="zh-CN"/>
    </w:rPr>
  </w:style>
  <w:style w:type="character" w:customStyle="1" w:styleId="19">
    <w:name w:val="文章正文 Char"/>
    <w:link w:val="18"/>
    <w:qFormat/>
    <w:uiPriority w:val="0"/>
    <w:rPr>
      <w:rFonts w:ascii="宋体" w:hAnsi="宋体" w:eastAsia="宋体" w:cs="Times New Roman"/>
      <w:color w:val="000000"/>
      <w:kern w:val="28"/>
      <w:sz w:val="28"/>
      <w:szCs w:val="28"/>
      <w:lang w:val="zh-CN" w:eastAsia="zh-CN"/>
    </w:rPr>
  </w:style>
  <w:style w:type="character" w:customStyle="1" w:styleId="20">
    <w:name w:val="批注框文本 字符"/>
    <w:basedOn w:val="11"/>
    <w:link w:val="4"/>
    <w:semiHidden/>
    <w:qFormat/>
    <w:uiPriority w:val="99"/>
    <w:rPr>
      <w:rFonts w:ascii="Calibri" w:hAnsi="Calibri" w:eastAsia="宋体" w:cs="Times New Roman"/>
      <w:sz w:val="18"/>
      <w:szCs w:val="18"/>
    </w:rPr>
  </w:style>
  <w:style w:type="paragraph" w:styleId="21">
    <w:name w:val="List Paragraph"/>
    <w:basedOn w:val="1"/>
    <w:qFormat/>
    <w:uiPriority w:val="34"/>
    <w:pPr>
      <w:ind w:firstLine="420" w:firstLineChars="200"/>
    </w:pPr>
  </w:style>
  <w:style w:type="character" w:customStyle="1" w:styleId="22">
    <w:name w:val="段 字符"/>
    <w:basedOn w:val="11"/>
    <w:qFormat/>
    <w:uiPriority w:val="0"/>
    <w:rPr>
      <w:rFonts w:ascii="Times New Roman" w:hAnsi="Times New Roman" w:eastAsia="宋体" w:cs="Calibri"/>
      <w:szCs w:val="21"/>
    </w:rPr>
  </w:style>
  <w:style w:type="paragraph" w:customStyle="1" w:styleId="23">
    <w:name w:val="术语"/>
    <w:basedOn w:val="16"/>
    <w:next w:val="16"/>
    <w:link w:val="24"/>
    <w:qFormat/>
    <w:uiPriority w:val="0"/>
    <w:pPr>
      <w:widowControl w:val="0"/>
      <w:autoSpaceDE/>
      <w:autoSpaceDN/>
      <w:adjustRightInd w:val="0"/>
      <w:ind w:firstLine="420"/>
    </w:pPr>
    <w:rPr>
      <w:rFonts w:ascii="Times New Roman" w:eastAsia="黑体" w:cs="Calibri"/>
      <w:kern w:val="2"/>
      <w:szCs w:val="21"/>
    </w:rPr>
  </w:style>
  <w:style w:type="character" w:customStyle="1" w:styleId="24">
    <w:name w:val="术语 字符"/>
    <w:basedOn w:val="22"/>
    <w:link w:val="23"/>
    <w:qFormat/>
    <w:uiPriority w:val="0"/>
    <w:rPr>
      <w:rFonts w:ascii="Times New Roman" w:hAnsi="Times New Roman" w:eastAsia="黑体" w:cs="Calibri"/>
      <w:szCs w:val="21"/>
    </w:rPr>
  </w:style>
  <w:style w:type="paragraph" w:customStyle="1" w:styleId="25">
    <w:name w:val="1章标题"/>
    <w:next w:val="1"/>
    <w:qFormat/>
    <w:uiPriority w:val="99"/>
    <w:pPr>
      <w:numPr>
        <w:ilvl w:val="1"/>
        <w:numId w:val="1"/>
      </w:numPr>
      <w:spacing w:beforeLines="50" w:afterLines="50"/>
      <w:jc w:val="both"/>
      <w:outlineLvl w:val="0"/>
    </w:pPr>
    <w:rPr>
      <w:rFonts w:ascii="黑体" w:hAnsi="Times New Roman" w:eastAsia="黑体" w:cs="黑体"/>
      <w:sz w:val="21"/>
      <w:szCs w:val="21"/>
      <w:lang w:val="en-US" w:eastAsia="zh-CN" w:bidi="ar-SA"/>
    </w:rPr>
  </w:style>
  <w:style w:type="paragraph" w:customStyle="1" w:styleId="26">
    <w:name w:val="标准文件_二级条标题"/>
    <w:next w:val="1"/>
    <w:qFormat/>
    <w:uiPriority w:val="99"/>
    <w:pPr>
      <w:widowControl w:val="0"/>
      <w:numPr>
        <w:ilvl w:val="3"/>
        <w:numId w:val="1"/>
      </w:numPr>
      <w:jc w:val="both"/>
      <w:outlineLvl w:val="2"/>
    </w:pPr>
    <w:rPr>
      <w:rFonts w:ascii="黑体" w:hAnsi="Times New Roman" w:eastAsia="黑体" w:cs="黑体"/>
      <w:sz w:val="21"/>
      <w:szCs w:val="21"/>
      <w:lang w:val="en-US" w:eastAsia="zh-CN" w:bidi="ar-SA"/>
    </w:rPr>
  </w:style>
  <w:style w:type="paragraph" w:customStyle="1" w:styleId="27">
    <w:name w:val="标准文件_三级条标题"/>
    <w:basedOn w:val="26"/>
    <w:next w:val="1"/>
    <w:qFormat/>
    <w:uiPriority w:val="99"/>
    <w:pPr>
      <w:widowControl/>
      <w:numPr>
        <w:ilvl w:val="4"/>
      </w:numPr>
      <w:outlineLvl w:val="3"/>
    </w:pPr>
  </w:style>
  <w:style w:type="paragraph" w:customStyle="1" w:styleId="28">
    <w:name w:val="标准文件_四级条标题"/>
    <w:next w:val="1"/>
    <w:qFormat/>
    <w:uiPriority w:val="99"/>
    <w:pPr>
      <w:widowControl w:val="0"/>
      <w:numPr>
        <w:ilvl w:val="5"/>
        <w:numId w:val="1"/>
      </w:numPr>
      <w:jc w:val="both"/>
      <w:outlineLvl w:val="4"/>
    </w:pPr>
    <w:rPr>
      <w:rFonts w:ascii="黑体" w:hAnsi="Times New Roman" w:eastAsia="黑体" w:cs="黑体"/>
      <w:sz w:val="21"/>
      <w:szCs w:val="21"/>
      <w:lang w:val="en-US" w:eastAsia="zh-CN" w:bidi="ar-SA"/>
    </w:rPr>
  </w:style>
  <w:style w:type="paragraph" w:customStyle="1" w:styleId="29">
    <w:name w:val="标准文件_五级条标题"/>
    <w:next w:val="1"/>
    <w:qFormat/>
    <w:uiPriority w:val="99"/>
    <w:pPr>
      <w:widowControl w:val="0"/>
      <w:numPr>
        <w:ilvl w:val="6"/>
        <w:numId w:val="1"/>
      </w:numPr>
      <w:jc w:val="both"/>
      <w:outlineLvl w:val="5"/>
    </w:pPr>
    <w:rPr>
      <w:rFonts w:ascii="黑体" w:hAnsi="Times New Roman" w:eastAsia="黑体" w:cs="黑体"/>
      <w:sz w:val="21"/>
      <w:szCs w:val="21"/>
      <w:lang w:val="en-US" w:eastAsia="zh-CN" w:bidi="ar-SA"/>
    </w:rPr>
  </w:style>
  <w:style w:type="paragraph" w:customStyle="1" w:styleId="30">
    <w:name w:val="标准文件_一级条标题"/>
    <w:basedOn w:val="25"/>
    <w:next w:val="1"/>
    <w:qFormat/>
    <w:uiPriority w:val="99"/>
    <w:pPr>
      <w:numPr>
        <w:ilvl w:val="2"/>
      </w:numPr>
      <w:spacing w:beforeLines="0" w:afterLines="0"/>
      <w:outlineLvl w:val="1"/>
    </w:pPr>
  </w:style>
  <w:style w:type="paragraph" w:customStyle="1" w:styleId="31">
    <w:name w:val="前言标题"/>
    <w:next w:val="1"/>
    <w:qFormat/>
    <w:uiPriority w:val="99"/>
    <w:pPr>
      <w:numPr>
        <w:ilvl w:val="0"/>
        <w:numId w:val="1"/>
      </w:numPr>
      <w:shd w:val="clear" w:color="FFFFFF" w:fill="FFFFFF"/>
      <w:spacing w:before="540"/>
      <w:jc w:val="center"/>
      <w:outlineLvl w:val="0"/>
    </w:pPr>
    <w:rPr>
      <w:rFonts w:ascii="黑体" w:hAnsi="Times New Roman" w:eastAsia="黑体" w:cs="黑体"/>
      <w:sz w:val="32"/>
      <w:szCs w:val="32"/>
      <w:lang w:val="en-US" w:eastAsia="zh-CN" w:bidi="ar-SA"/>
    </w:rPr>
  </w:style>
  <w:style w:type="paragraph" w:customStyle="1" w:styleId="32">
    <w:name w:val="二级条标题"/>
    <w:basedOn w:val="26"/>
    <w:next w:val="16"/>
    <w:link w:val="33"/>
    <w:qFormat/>
    <w:uiPriority w:val="0"/>
    <w:pPr>
      <w:spacing w:before="50" w:beforeLines="50" w:after="50" w:afterLines="50"/>
    </w:pPr>
    <w:rPr>
      <w:rFonts w:ascii="Times New Roman"/>
    </w:rPr>
  </w:style>
  <w:style w:type="character" w:customStyle="1" w:styleId="33">
    <w:name w:val="二级条标题 字符"/>
    <w:basedOn w:val="11"/>
    <w:link w:val="32"/>
    <w:qFormat/>
    <w:uiPriority w:val="0"/>
    <w:rPr>
      <w:rFonts w:ascii="Times New Roman" w:hAnsi="Times New Roman" w:eastAsia="黑体" w:cs="黑体"/>
      <w:kern w:val="0"/>
      <w:szCs w:val="21"/>
    </w:rPr>
  </w:style>
  <w:style w:type="character" w:customStyle="1" w:styleId="34">
    <w:name w:val="font11"/>
    <w:basedOn w:val="11"/>
    <w:qFormat/>
    <w:uiPriority w:val="0"/>
    <w:rPr>
      <w:rFonts w:hint="eastAsia" w:ascii="宋体" w:hAnsi="宋体" w:eastAsia="宋体" w:cs="宋体"/>
      <w:color w:val="000000"/>
      <w:sz w:val="22"/>
      <w:szCs w:val="22"/>
      <w:u w:val="none"/>
    </w:rPr>
  </w:style>
  <w:style w:type="character" w:customStyle="1" w:styleId="35">
    <w:name w:val="HTML 预设格式 字符"/>
    <w:basedOn w:val="11"/>
    <w:link w:val="8"/>
    <w:semiHidden/>
    <w:qFormat/>
    <w:uiPriority w:val="99"/>
    <w:rPr>
      <w:rFonts w:ascii="宋体" w:hAnsi="宋体" w:cs="宋体"/>
      <w:sz w:val="24"/>
      <w:szCs w:val="24"/>
    </w:rPr>
  </w:style>
  <w:style w:type="paragraph" w:customStyle="1" w:styleId="36">
    <w:name w:val="一级条标题"/>
    <w:basedOn w:val="30"/>
    <w:next w:val="16"/>
    <w:qFormat/>
    <w:uiPriority w:val="0"/>
    <w:pPr>
      <w:spacing w:before="156" w:beforeLines="50" w:after="156" w:afterLines="50"/>
    </w:pPr>
  </w:style>
  <w:style w:type="paragraph" w:customStyle="1" w:styleId="37">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38">
    <w:name w:val="正文表标题"/>
    <w:basedOn w:val="39"/>
    <w:next w:val="16"/>
    <w:qFormat/>
    <w:uiPriority w:val="0"/>
    <w:pPr>
      <w:numPr>
        <w:numId w:val="2"/>
      </w:numPr>
    </w:pPr>
  </w:style>
  <w:style w:type="paragraph" w:customStyle="1" w:styleId="39">
    <w:name w:val="正文图题"/>
    <w:basedOn w:val="7"/>
    <w:next w:val="16"/>
    <w:qFormat/>
    <w:uiPriority w:val="0"/>
    <w:pPr>
      <w:numPr>
        <w:ilvl w:val="0"/>
        <w:numId w:val="3"/>
      </w:numPr>
      <w:spacing w:before="50" w:beforeLines="50" w:after="50" w:afterLines="50" w:line="240" w:lineRule="auto"/>
      <w:ind w:left="0" w:leftChars="0" w:firstLine="0" w:firstLineChars="0"/>
      <w:jc w:val="center"/>
    </w:pPr>
    <w:rPr>
      <w:rFonts w:eastAsia="黑体"/>
    </w:rPr>
  </w:style>
  <w:style w:type="paragraph" w:customStyle="1" w:styleId="40">
    <w:name w:val="三级条标题"/>
    <w:basedOn w:val="27"/>
    <w:next w:val="16"/>
    <w:qFormat/>
    <w:uiPriority w:val="0"/>
    <w:pPr>
      <w:spacing w:before="156" w:beforeLines="50" w:after="156" w:afterLines="5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11FA1-C665-4CEF-A46E-03F3344C7C2C}">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2561</Words>
  <Characters>2784</Characters>
  <Lines>18</Lines>
  <Paragraphs>5</Paragraphs>
  <TotalTime>8</TotalTime>
  <ScaleCrop>false</ScaleCrop>
  <LinksUpToDate>false</LinksUpToDate>
  <CharactersWithSpaces>2923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2017-06-05T06:59:00Z</dcterms:created>
  <dc:creator>zhengyanfeng</dc:creator>
  <cp:lastModifiedBy>Administrator</cp:lastModifiedBy>
  <dcterms:modified xsi:type="dcterms:W3CDTF">2022-09-20T06:31:46Z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856F06179FC943519AC3DDFD412052ED</vt:lpwstr>
  </property>
</Properties>
</file>