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before="0" w:after="157" w:afterLines="50"/>
        <w:jc w:val="center"/>
        <w:textAlignment w:val="auto"/>
        <w:rPr>
          <w:rFonts w:hint="eastAsia" w:ascii="宋体" w:hAnsi="宋体"/>
        </w:rPr>
      </w:pPr>
      <w:bookmarkStart w:id="0" w:name="_Toc384593522"/>
      <w:bookmarkStart w:id="1" w:name="_Toc421543628"/>
      <w:r>
        <w:rPr>
          <w:rFonts w:hint="eastAsia"/>
          <w:highlight w:val="none"/>
        </w:rPr>
        <w:t>《</w:t>
      </w:r>
      <w:r>
        <w:rPr>
          <w:rFonts w:hint="eastAsia"/>
          <w:highlight w:val="none"/>
          <w:lang w:val="en-US" w:eastAsia="zh-CN"/>
        </w:rPr>
        <w:t>灵芝菌丝粉</w:t>
      </w:r>
      <w:r>
        <w:rPr>
          <w:rFonts w:hint="eastAsia"/>
          <w:highlight w:val="none"/>
        </w:rPr>
        <w:t>》</w:t>
      </w:r>
      <w:r>
        <w:rPr>
          <w:rFonts w:hint="eastAsia" w:ascii="宋体" w:hAnsi="宋体"/>
          <w:highlight w:val="none"/>
        </w:rPr>
        <w:t>编制说</w:t>
      </w:r>
      <w:r>
        <w:rPr>
          <w:rFonts w:hint="eastAsia" w:ascii="宋体" w:hAnsi="宋体"/>
        </w:rPr>
        <w:t>明</w:t>
      </w:r>
    </w:p>
    <w:p>
      <w:pPr>
        <w:pageBreakBefore w:val="0"/>
        <w:widowControl w:val="0"/>
        <w:kinsoku/>
        <w:wordWrap/>
        <w:overflowPunct/>
        <w:topLinePunct w:val="0"/>
        <w:autoSpaceDE/>
        <w:autoSpaceDN/>
        <w:bidi w:val="0"/>
        <w:adjustRightInd/>
        <w:snapToGrid/>
        <w:spacing w:after="157" w:afterLines="50"/>
        <w:jc w:val="center"/>
        <w:textAlignment w:val="auto"/>
        <w:rPr>
          <w:rFonts w:hint="eastAsia" w:eastAsia="宋体"/>
          <w:lang w:eastAsia="zh-CN"/>
        </w:rPr>
      </w:pPr>
      <w:r>
        <w:rPr>
          <w:rFonts w:hint="eastAsia"/>
          <w:lang w:eastAsia="zh-CN"/>
        </w:rPr>
        <w:t>（</w:t>
      </w:r>
      <w:r>
        <w:rPr>
          <w:rFonts w:hint="eastAsia"/>
          <w:lang w:val="en-US" w:eastAsia="zh-CN"/>
        </w:rPr>
        <w:t>征求意见稿</w:t>
      </w:r>
      <w:r>
        <w:rPr>
          <w:rFonts w:hint="eastAsia"/>
          <w:lang w:eastAsia="zh-CN"/>
        </w:rPr>
        <w:t>）</w:t>
      </w:r>
    </w:p>
    <w:bookmarkEnd w:id="0"/>
    <w:bookmarkEnd w:id="1"/>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eastAsia="黑体"/>
          <w:sz w:val="24"/>
        </w:rPr>
      </w:pPr>
      <w:r>
        <w:rPr>
          <w:rFonts w:hint="eastAsia" w:ascii="黑体" w:eastAsia="黑体"/>
          <w:sz w:val="24"/>
        </w:rPr>
        <w:t>一、工作简况，包括任务来源、协作单位、主要工作、团体标准主要起草人及其所承担的工作等</w:t>
      </w:r>
    </w:p>
    <w:p>
      <w:pPr>
        <w:keepNext w:val="0"/>
        <w:keepLines w:val="0"/>
        <w:pageBreakBefore w:val="0"/>
        <w:widowControl w:val="0"/>
        <w:kinsoku/>
        <w:wordWrap/>
        <w:overflowPunct/>
        <w:topLinePunct w:val="0"/>
        <w:autoSpaceDE/>
        <w:autoSpaceDN/>
        <w:bidi w:val="0"/>
        <w:adjustRightInd/>
        <w:snapToGrid/>
        <w:spacing w:before="157" w:beforeLines="50" w:after="124" w:afterLines="40" w:line="360" w:lineRule="auto"/>
        <w:ind w:firstLine="480" w:firstLineChars="200"/>
        <w:textAlignment w:val="auto"/>
        <w:rPr>
          <w:rFonts w:hint="eastAsia" w:ascii="黑体" w:eastAsia="黑体"/>
          <w:sz w:val="24"/>
        </w:rPr>
      </w:pPr>
      <w:r>
        <w:rPr>
          <w:rFonts w:hint="eastAsia" w:ascii="黑体" w:eastAsia="黑体"/>
          <w:sz w:val="24"/>
        </w:rPr>
        <w:t>1.任务来源</w:t>
      </w:r>
    </w:p>
    <w:p>
      <w:pPr>
        <w:keepNext w:val="0"/>
        <w:keepLines w:val="0"/>
        <w:pageBreakBefore w:val="0"/>
        <w:widowControl w:val="0"/>
        <w:kinsoku/>
        <w:wordWrap/>
        <w:overflowPunct/>
        <w:topLinePunct w:val="0"/>
        <w:autoSpaceDE/>
        <w:autoSpaceDN/>
        <w:bidi w:val="0"/>
        <w:adjustRightInd/>
        <w:snapToGrid/>
        <w:spacing w:before="157" w:beforeLines="50" w:after="124" w:afterLines="40"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由于生活和工作强度的增加、生存环境的恶化、生活不规律、社会进入老龄化阶段导致现在人们的身体状况处于亚健康或者不健康的状态，甚至出现许多重大疾病。但随着生活质量的提升和人们对保健的意识的增强，人们对保健品的需求明显增加。被《神农本草经》《本草纲目》列为上品、功效自古以来评价一直很高的灵芝，备受消费者关注。近年来，灵芝菌丝粉因其较高的有效成分和较好的功效，产品大量涌入市场，具有很好的发展前景，拥有十分重要的社会价值和经济价值。从2012年起，我国灵芝产业发展迅猛，市场产值已超百亿元，其中，灵芝菌丝粉属于灵芝制剂的顶级形态，灵芝菌丝粉以灵芝菌种经发酵培养等工艺制备而成的，我国医药研究专家通过临床药理研究发现灵芝孢子中的抗病主力为多糖类物质，这不仅证明了灵芝菌丝粉具有很高的药用价值，也使灵芝菌丝粉成为研究的热点。灵芝菌丝粉荟萃灵芝之精华，属于灵芝制剂的特别形态，其有效成分和功效都得到了明显的增高。灵芝菌丝粉在市场上占有很大的销售份额，但市场上的灵芝菌丝粉产品良莠不齐。长期以来，灵芝菌丝粉行业缺乏统一、规范的标准，导致乱象频发；市场上流通的灵芝菌丝粉质量无法有效控制，给人们用药安全带来了隐患，同时也影响了灵芝相关产业的的声誉。</w:t>
      </w:r>
    </w:p>
    <w:p>
      <w:pPr>
        <w:spacing w:before="312" w:beforeLines="100" w:after="124" w:afterLines="40" w:line="360" w:lineRule="auto"/>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因此，迫切需要建立灵芝菌丝粉的质量标准，保证市场上灵芝菌粉的质量，保护消费者健康安全和经济利益，维护行业秩序，促进产业合理、健康发展。</w:t>
      </w:r>
    </w:p>
    <w:p>
      <w:pPr>
        <w:spacing w:before="312" w:beforeLines="100" w:after="124" w:afterLines="40" w:line="360" w:lineRule="auto"/>
        <w:ind w:firstLine="480" w:firstLineChars="200"/>
        <w:rPr>
          <w:rFonts w:hint="default"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2022年5月31日，中国食品药品企业质量安全促进会发文（中食药质安促字[2022]36号）批复同意《灵芝菌丝粉》的团标立项申请。</w:t>
      </w:r>
    </w:p>
    <w:p>
      <w:pPr>
        <w:keepNext w:val="0"/>
        <w:keepLines w:val="0"/>
        <w:pageBreakBefore w:val="0"/>
        <w:widowControl w:val="0"/>
        <w:kinsoku/>
        <w:wordWrap/>
        <w:overflowPunct/>
        <w:topLinePunct w:val="0"/>
        <w:autoSpaceDE/>
        <w:autoSpaceDN/>
        <w:bidi w:val="0"/>
        <w:adjustRightInd/>
        <w:snapToGrid/>
        <w:spacing w:before="157" w:beforeLines="50" w:after="124" w:afterLines="40" w:line="360" w:lineRule="auto"/>
        <w:ind w:firstLine="480" w:firstLineChars="200"/>
        <w:textAlignment w:val="auto"/>
        <w:rPr>
          <w:rFonts w:hint="eastAsia" w:ascii="黑体" w:eastAsia="黑体"/>
          <w:sz w:val="24"/>
        </w:rPr>
      </w:pPr>
      <w:r>
        <w:rPr>
          <w:rFonts w:hint="eastAsia" w:ascii="黑体" w:eastAsia="黑体"/>
          <w:sz w:val="24"/>
        </w:rPr>
        <w:t>2.协作单位</w:t>
      </w:r>
    </w:p>
    <w:p>
      <w:pPr>
        <w:spacing w:before="312" w:beforeLines="100" w:after="124" w:afterLines="40" w:line="360" w:lineRule="auto"/>
        <w:ind w:firstLine="480" w:firstLineChars="200"/>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北京共生文化咨询有限公司、中国保健协会食物营养与安全专业委员会、大连康之源生物科技有限公司。</w:t>
      </w:r>
    </w:p>
    <w:p>
      <w:pPr>
        <w:keepNext w:val="0"/>
        <w:keepLines w:val="0"/>
        <w:pageBreakBefore w:val="0"/>
        <w:widowControl w:val="0"/>
        <w:kinsoku/>
        <w:wordWrap/>
        <w:overflowPunct/>
        <w:topLinePunct w:val="0"/>
        <w:autoSpaceDE/>
        <w:autoSpaceDN/>
        <w:bidi w:val="0"/>
        <w:adjustRightInd/>
        <w:snapToGrid/>
        <w:spacing w:before="157" w:beforeLines="50" w:after="124" w:afterLines="40" w:line="360" w:lineRule="auto"/>
        <w:ind w:firstLine="480" w:firstLineChars="200"/>
        <w:textAlignment w:val="auto"/>
        <w:rPr>
          <w:rFonts w:hint="eastAsia" w:ascii="黑体" w:eastAsia="黑体"/>
          <w:sz w:val="24"/>
        </w:rPr>
      </w:pPr>
      <w:r>
        <w:rPr>
          <w:rFonts w:hint="eastAsia" w:ascii="黑体" w:eastAsia="黑体"/>
          <w:sz w:val="24"/>
        </w:rPr>
        <w:t>3.主要工作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ascii="黑体" w:eastAsia="黑体"/>
          <w:sz w:val="24"/>
        </w:rPr>
      </w:pPr>
      <w:r>
        <w:rPr>
          <w:rFonts w:hint="eastAsia" w:ascii="黑体" w:eastAsia="黑体"/>
          <w:sz w:val="24"/>
        </w:rPr>
        <w:t>起草阶段：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2022年3月，成立标准起草工作组。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2022年4月，搜集国内外有关标准，结合企业标准，起草标准草案。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2022年5月，按照中国食品药品企业质量安全促进会团标管理办法要求，准备立项相关材料，提出团标立项申请。5月27日，标准起草工作组代表参加了协会组织的团标专家立项评审会（视频会）。经过立项评审，与会专家一致认为《灵芝菌丝粉》团体标准符合我国有关标准规范的要求，建议立项。5月31日，中国食品药品企业质量安全促进会发文（中食药质安促字[2022]36号）批复同意《灵芝菌丝粉》的团标立项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2022年6-8月，</w:t>
      </w:r>
      <w:r>
        <w:rPr>
          <w:rFonts w:hint="eastAsia" w:asciiTheme="minorEastAsia" w:hAnsiTheme="minorEastAsia" w:eastAsiaTheme="minorEastAsia"/>
          <w:sz w:val="24"/>
          <w:szCs w:val="24"/>
        </w:rPr>
        <w:t>标准起草工作组</w:t>
      </w:r>
      <w:r>
        <w:rPr>
          <w:rFonts w:hint="eastAsia" w:asciiTheme="minorEastAsia" w:hAnsiTheme="minorEastAsia" w:eastAsiaTheme="minorEastAsia"/>
          <w:sz w:val="24"/>
          <w:szCs w:val="24"/>
          <w:lang w:val="en-US" w:eastAsia="zh-CN"/>
        </w:rPr>
        <w:t>根据立项评审会意见修改文本，并依据文本要求进行了相关验证试验。通过验证，并经内容研讨，起草组进一步修改完善文本，而后形成征求意见稿提交协会公开征求意见。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黑体" w:eastAsia="黑体"/>
          <w:sz w:val="24"/>
        </w:rPr>
      </w:pPr>
      <w:r>
        <w:rPr>
          <w:rFonts w:hint="eastAsia" w:ascii="黑体" w:eastAsia="黑体"/>
          <w:sz w:val="24"/>
        </w:rPr>
        <w:t>征求意见阶段：</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黑体" w:eastAsia="黑体"/>
          <w:sz w:val="24"/>
        </w:rPr>
      </w:pPr>
      <w:r>
        <w:rPr>
          <w:rFonts w:hint="eastAsia" w:ascii="黑体" w:eastAsia="黑体"/>
          <w:sz w:val="24"/>
        </w:rPr>
        <w:t>审查阶段：</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黑体" w:eastAsia="黑体"/>
          <w:sz w:val="24"/>
        </w:rPr>
      </w:pPr>
      <w:r>
        <w:rPr>
          <w:rFonts w:hint="eastAsia" w:ascii="黑体" w:eastAsia="黑体"/>
          <w:sz w:val="24"/>
        </w:rPr>
        <w:t>报批阶段：</w:t>
      </w:r>
    </w:p>
    <w:p>
      <w:pPr>
        <w:keepNext w:val="0"/>
        <w:keepLines w:val="0"/>
        <w:pageBreakBefore w:val="0"/>
        <w:widowControl w:val="0"/>
        <w:kinsoku/>
        <w:wordWrap/>
        <w:overflowPunct/>
        <w:topLinePunct w:val="0"/>
        <w:autoSpaceDE/>
        <w:autoSpaceDN/>
        <w:bidi w:val="0"/>
        <w:adjustRightInd/>
        <w:snapToGrid/>
        <w:spacing w:before="157" w:beforeLines="50" w:after="124" w:afterLines="40" w:line="360" w:lineRule="auto"/>
        <w:ind w:firstLine="480" w:firstLineChars="200"/>
        <w:textAlignment w:val="auto"/>
        <w:rPr>
          <w:rFonts w:hint="eastAsia" w:ascii="黑体" w:eastAsia="黑体"/>
          <w:sz w:val="24"/>
        </w:rPr>
      </w:pPr>
      <w:r>
        <w:rPr>
          <w:rFonts w:hint="eastAsia" w:ascii="黑体" w:eastAsia="黑体"/>
          <w:sz w:val="24"/>
        </w:rPr>
        <w:t>4.团体标准主要起草人及其所承担的工作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本标准主要起草人：孙莉、邢守英等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承担的工作：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eastAsia="黑体"/>
          <w:sz w:val="24"/>
        </w:rPr>
      </w:pPr>
      <w:r>
        <w:rPr>
          <w:rFonts w:hint="eastAsia" w:ascii="黑体" w:eastAsia="黑体"/>
          <w:sz w:val="24"/>
        </w:rPr>
        <w:t>二、标准编制原则和确定标准主要内容的依据</w:t>
      </w:r>
    </w:p>
    <w:p>
      <w:pPr>
        <w:keepNext w:val="0"/>
        <w:keepLines w:val="0"/>
        <w:pageBreakBefore w:val="0"/>
        <w:widowControl w:val="0"/>
        <w:kinsoku/>
        <w:wordWrap/>
        <w:overflowPunct/>
        <w:topLinePunct w:val="0"/>
        <w:autoSpaceDE/>
        <w:autoSpaceDN/>
        <w:bidi w:val="0"/>
        <w:adjustRightInd/>
        <w:snapToGrid/>
        <w:spacing w:before="157" w:beforeLines="50" w:after="124" w:afterLines="40" w:line="360" w:lineRule="auto"/>
        <w:ind w:firstLine="480" w:firstLineChars="200"/>
        <w:textAlignment w:val="auto"/>
        <w:rPr>
          <w:rFonts w:hint="eastAsia" w:ascii="黑体" w:eastAsia="黑体"/>
          <w:sz w:val="24"/>
        </w:rPr>
      </w:pPr>
      <w:r>
        <w:rPr>
          <w:rFonts w:hint="eastAsia" w:ascii="黑体" w:eastAsia="黑体"/>
          <w:sz w:val="24"/>
        </w:rPr>
        <w:t xml:space="preserve">1、标准编制原则 </w:t>
      </w:r>
    </w:p>
    <w:p>
      <w:pPr>
        <w:spacing w:line="360" w:lineRule="auto"/>
        <w:rPr>
          <w:rFonts w:hint="eastAsia" w:ascii="ˎ̥" w:hAnsi="ˎ̥"/>
          <w:sz w:val="24"/>
        </w:rPr>
      </w:pPr>
      <w:r>
        <w:rPr>
          <w:rFonts w:ascii="ˎ̥" w:hAnsi="ˎ̥"/>
          <w:sz w:val="24"/>
        </w:rPr>
        <w:t xml:space="preserve">    </w:t>
      </w:r>
      <w:r>
        <w:rPr>
          <w:rFonts w:hint="eastAsia" w:ascii="ˎ̥" w:hAnsi="ˎ̥"/>
          <w:sz w:val="24"/>
        </w:rPr>
        <w:t>本标准的制定符合产业发展的原则，本着先进性、科学性、合理性和可操作性的原则</w:t>
      </w:r>
      <w:r>
        <w:rPr>
          <w:rFonts w:hint="eastAsia" w:ascii="ˎ̥" w:hAnsi="ˎ̥"/>
          <w:sz w:val="24"/>
          <w:lang w:eastAsia="zh-CN"/>
        </w:rPr>
        <w:t>，</w:t>
      </w:r>
      <w:r>
        <w:rPr>
          <w:rFonts w:hint="eastAsia" w:ascii="ˎ̥" w:hAnsi="ˎ̥"/>
          <w:sz w:val="24"/>
        </w:rPr>
        <w:t>以及标准的目标、统一性、协调性、适用性、一致性和规范性原则来进行本标准的制定工作。</w:t>
      </w:r>
    </w:p>
    <w:p>
      <w:pPr>
        <w:spacing w:line="360" w:lineRule="auto"/>
        <w:ind w:firstLine="480" w:firstLineChars="200"/>
        <w:rPr>
          <w:rFonts w:hint="eastAsia" w:ascii="ˎ̥" w:hAnsi="ˎ̥"/>
          <w:sz w:val="24"/>
        </w:rPr>
      </w:pPr>
      <w:r>
        <w:rPr>
          <w:rFonts w:hint="eastAsia" w:ascii="ˎ̥" w:hAnsi="ˎ̥"/>
          <w:sz w:val="24"/>
        </w:rPr>
        <w:t>本标准起草过程中，主要按GB/T 1.1</w:t>
      </w:r>
      <w:r>
        <w:rPr>
          <w:rFonts w:hint="eastAsia"/>
        </w:rPr>
        <w:t>－</w:t>
      </w:r>
      <w:r>
        <w:rPr>
          <w:rFonts w:hint="eastAsia" w:ascii="ˎ̥" w:hAnsi="ˎ̥"/>
          <w:sz w:val="24"/>
        </w:rPr>
        <w:t xml:space="preserve">2020《标准化工作导则 </w:t>
      </w:r>
      <w:r>
        <w:rPr>
          <w:rFonts w:hint="eastAsia" w:ascii="ˎ̥" w:hAnsi="ˎ̥"/>
          <w:sz w:val="24"/>
          <w:lang w:val="en-US" w:eastAsia="zh-CN"/>
        </w:rPr>
        <w:t xml:space="preserve"> </w:t>
      </w:r>
      <w:r>
        <w:rPr>
          <w:rFonts w:hint="eastAsia" w:ascii="ˎ̥" w:hAnsi="ˎ̥"/>
          <w:sz w:val="24"/>
        </w:rPr>
        <w:t>第1部分：标准化文件的结构和起草规则》进行编写。</w:t>
      </w:r>
    </w:p>
    <w:p>
      <w:pPr>
        <w:spacing w:line="360" w:lineRule="auto"/>
        <w:ind w:firstLine="480" w:firstLineChars="200"/>
        <w:rPr>
          <w:rFonts w:hint="eastAsia" w:ascii="ˎ̥" w:hAnsi="ˎ̥"/>
          <w:sz w:val="24"/>
        </w:rPr>
      </w:pPr>
      <w:r>
        <w:rPr>
          <w:rFonts w:hint="eastAsia" w:ascii="ˎ̥" w:hAnsi="ˎ̥"/>
          <w:sz w:val="24"/>
        </w:rPr>
        <w:t>本标准制定过程中，引用或参考了以下标准或文件：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lang w:val="en-US" w:eastAsia="zh-CN"/>
        </w:rPr>
      </w:pPr>
      <w:r>
        <w:rPr>
          <w:rFonts w:hint="eastAsia"/>
          <w:sz w:val="24"/>
          <w:lang w:val="en-US" w:eastAsia="zh-CN"/>
        </w:rPr>
        <w:t>GB 1351 小麦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lang w:val="en-US" w:eastAsia="zh-CN"/>
        </w:rPr>
      </w:pPr>
      <w:r>
        <w:rPr>
          <w:rFonts w:hint="eastAsia"/>
          <w:sz w:val="24"/>
          <w:lang w:val="en-US" w:eastAsia="zh-CN"/>
        </w:rPr>
        <w:t>GB 1353 玉米</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sz w:val="24"/>
          <w:lang w:val="en-US" w:eastAsia="zh-CN"/>
        </w:rPr>
      </w:pPr>
      <w:r>
        <w:rPr>
          <w:rFonts w:hint="eastAsia"/>
          <w:sz w:val="24"/>
          <w:lang w:val="en-US" w:eastAsia="zh-CN"/>
        </w:rPr>
        <w:t>GB 2762 食品安全国家标准 食品中污染物限量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sz w:val="24"/>
          <w:lang w:val="en-US" w:eastAsia="zh-CN"/>
        </w:rPr>
      </w:pPr>
      <w:r>
        <w:rPr>
          <w:rFonts w:hint="eastAsia"/>
          <w:sz w:val="24"/>
          <w:lang w:val="en-US" w:eastAsia="zh-CN"/>
        </w:rPr>
        <w:t>GB 4789.1 食品安全国家标准 食品微生物学检验 总则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lang w:val="en-US" w:eastAsia="zh-CN"/>
        </w:rPr>
      </w:pPr>
      <w:r>
        <w:rPr>
          <w:rFonts w:hint="eastAsia"/>
          <w:sz w:val="24"/>
          <w:lang w:val="en-US" w:eastAsia="zh-CN"/>
        </w:rPr>
        <w:t xml:space="preserve">GB 4789.2 食品安全国家标准 食品微生物学检验 菌落总数测定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lang w:val="en-US" w:eastAsia="zh-CN"/>
        </w:rPr>
      </w:pPr>
      <w:r>
        <w:rPr>
          <w:rFonts w:hint="eastAsia"/>
          <w:sz w:val="24"/>
          <w:lang w:val="en-US" w:eastAsia="zh-CN"/>
        </w:rPr>
        <w:t>GB 4789.3 食品安全国家标准 食品微生物学检验 大肠菌群计数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sz w:val="24"/>
          <w:lang w:val="en-US" w:eastAsia="zh-CN"/>
        </w:rPr>
      </w:pPr>
      <w:r>
        <w:rPr>
          <w:rFonts w:hint="default"/>
          <w:sz w:val="24"/>
          <w:lang w:val="en-US" w:eastAsia="zh-CN"/>
        </w:rPr>
        <w:t>GB 4789.4</w:t>
      </w:r>
      <w:r>
        <w:rPr>
          <w:rFonts w:hint="eastAsia"/>
          <w:sz w:val="24"/>
          <w:lang w:val="en-US" w:eastAsia="zh-CN"/>
        </w:rPr>
        <w:t xml:space="preserve"> 食品安全国家标准 食品微生物学检验 沙门氏菌检验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sz w:val="24"/>
          <w:lang w:val="en-US" w:eastAsia="zh-CN"/>
        </w:rPr>
      </w:pPr>
      <w:r>
        <w:rPr>
          <w:rFonts w:hint="default"/>
          <w:sz w:val="24"/>
          <w:lang w:val="en-US" w:eastAsia="zh-CN"/>
        </w:rPr>
        <w:t>GB 4789.10</w:t>
      </w:r>
      <w:r>
        <w:rPr>
          <w:rFonts w:hint="eastAsia"/>
          <w:sz w:val="24"/>
          <w:lang w:val="en-US" w:eastAsia="zh-CN"/>
        </w:rPr>
        <w:t xml:space="preserve"> 食品安全国家标准 食品微生物学检验 金黄色葡萄球菌检验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lang w:val="en-US" w:eastAsia="zh-CN"/>
        </w:rPr>
      </w:pPr>
      <w:r>
        <w:rPr>
          <w:rFonts w:hint="eastAsia"/>
          <w:sz w:val="24"/>
          <w:lang w:val="en-US" w:eastAsia="zh-CN"/>
        </w:rPr>
        <w:t>GB 4789.15 食品安全国家标准 食品微生物学检验 霉菌和酵母计数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sz w:val="24"/>
          <w:lang w:val="en-US" w:eastAsia="zh-CN"/>
        </w:rPr>
      </w:pPr>
      <w:r>
        <w:rPr>
          <w:rFonts w:hint="eastAsia"/>
          <w:sz w:val="24"/>
          <w:lang w:val="en-US" w:eastAsia="zh-CN"/>
        </w:rPr>
        <w:t>GB/T 4789.21 食品卫生微生物学检验 冷冻饮品、饮料检验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sz w:val="24"/>
          <w:lang w:val="en-US" w:eastAsia="zh-CN"/>
        </w:rPr>
      </w:pPr>
      <w:r>
        <w:rPr>
          <w:rFonts w:hint="eastAsia"/>
          <w:sz w:val="24"/>
          <w:lang w:val="en-US" w:eastAsia="zh-CN"/>
        </w:rPr>
        <w:t xml:space="preserve">GB 5009.4 </w:t>
      </w:r>
      <w:r>
        <w:rPr>
          <w:rFonts w:hint="default"/>
          <w:sz w:val="24"/>
          <w:lang w:val="en-US" w:eastAsia="zh-CN"/>
        </w:rPr>
        <w:t>食品安全国家标准 食品中灰分的测定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lang w:val="en-US" w:eastAsia="zh-CN"/>
        </w:rPr>
      </w:pPr>
      <w:r>
        <w:rPr>
          <w:rFonts w:hint="eastAsia"/>
          <w:sz w:val="24"/>
          <w:lang w:val="en-US" w:eastAsia="zh-CN"/>
        </w:rPr>
        <w:t>GB 14881 食品安全国家标准 食品生产通用卫生规范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sz w:val="24"/>
          <w:lang w:val="en-US" w:eastAsia="zh-CN"/>
        </w:rPr>
      </w:pPr>
      <w:r>
        <w:rPr>
          <w:rFonts w:hint="eastAsia"/>
          <w:sz w:val="24"/>
          <w:lang w:val="en-US" w:eastAsia="zh-CN"/>
        </w:rPr>
        <w:t>GB/T 22427.5 淀粉细度的测定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lang w:val="en-US" w:eastAsia="zh-CN"/>
        </w:rPr>
      </w:pPr>
      <w:r>
        <w:rPr>
          <w:rFonts w:hint="eastAsia"/>
          <w:sz w:val="24"/>
          <w:lang w:val="en-US" w:eastAsia="zh-CN"/>
        </w:rPr>
        <w:t>JJF 1070 定量包装商品净含量计量检验规则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lang w:val="en-US" w:eastAsia="zh-CN"/>
        </w:rPr>
      </w:pPr>
      <w:r>
        <w:rPr>
          <w:rFonts w:hint="eastAsia"/>
          <w:sz w:val="24"/>
          <w:lang w:val="en-US" w:eastAsia="zh-CN"/>
        </w:rPr>
        <w:t>《定量包装商品计量监督管理办法》（国家质量监督检验检疫总局令〔2005〕第</w:t>
      </w:r>
      <w:r>
        <w:rPr>
          <w:rFonts w:hint="default"/>
          <w:sz w:val="24"/>
          <w:lang w:val="en-US" w:eastAsia="zh-CN"/>
        </w:rPr>
        <w:t>75号</w:t>
      </w:r>
      <w:r>
        <w:rPr>
          <w:rFonts w:hint="eastAsia"/>
          <w:sz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Calibri" w:hAnsi="Calibri" w:eastAsia="宋体" w:cs="Times New Roman"/>
          <w:kern w:val="2"/>
          <w:sz w:val="24"/>
          <w:szCs w:val="22"/>
          <w:lang w:val="en-US" w:eastAsia="zh-CN" w:bidi="ar-SA"/>
        </w:rPr>
      </w:pPr>
      <w:r>
        <w:rPr>
          <w:rFonts w:hint="eastAsia"/>
          <w:sz w:val="24"/>
          <w:lang w:val="en-US" w:eastAsia="zh-CN"/>
        </w:rPr>
        <w:t>《保健食品功效成分检测方法》(2011年版)</w:t>
      </w:r>
    </w:p>
    <w:p>
      <w:pPr>
        <w:keepNext w:val="0"/>
        <w:keepLines w:val="0"/>
        <w:pageBreakBefore w:val="0"/>
        <w:widowControl w:val="0"/>
        <w:kinsoku/>
        <w:wordWrap/>
        <w:overflowPunct/>
        <w:topLinePunct w:val="0"/>
        <w:autoSpaceDE/>
        <w:autoSpaceDN/>
        <w:bidi w:val="0"/>
        <w:adjustRightInd/>
        <w:snapToGrid/>
        <w:spacing w:before="157" w:beforeLines="50" w:after="124" w:afterLines="40" w:line="360" w:lineRule="auto"/>
        <w:ind w:firstLine="480" w:firstLineChars="200"/>
        <w:textAlignment w:val="auto"/>
        <w:rPr>
          <w:rFonts w:hint="eastAsia" w:ascii="黑体" w:eastAsia="黑体"/>
          <w:sz w:val="24"/>
        </w:rPr>
      </w:pPr>
      <w:r>
        <w:rPr>
          <w:rFonts w:hint="eastAsia" w:ascii="黑体" w:eastAsia="黑体"/>
          <w:sz w:val="24"/>
        </w:rPr>
        <w:t>2、确定标准主要内容的依据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lang w:val="en-US" w:eastAsia="zh-CN"/>
        </w:rPr>
      </w:pPr>
      <w:r>
        <w:rPr>
          <w:rFonts w:hint="eastAsia"/>
          <w:sz w:val="24"/>
          <w:lang w:val="en-US" w:eastAsia="zh-CN"/>
        </w:rPr>
        <w:t xml:space="preserve">本文件规定了灵芝菌丝粉的原辅料要求，生产工艺要求，感官、理化、污染物、微生物等质量要求，描述了相应的测试方法，规定了检验规则、标志、包装、运输和贮存的内容。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lang w:val="en-US" w:eastAsia="zh-CN"/>
        </w:rPr>
      </w:pPr>
      <w:r>
        <w:rPr>
          <w:rFonts w:hint="eastAsia"/>
          <w:sz w:val="24"/>
          <w:lang w:val="en-US" w:eastAsia="zh-CN"/>
        </w:rPr>
        <w:t xml:space="preserve">本文件适用于以小麦、玉米等为培养基，将灵芝菌种接种在培养基里生长出菌丝体，加工而成的灵芝菌丝粉的生产、检验和销售。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lang w:val="en-US" w:eastAsia="zh-CN"/>
        </w:rPr>
      </w:pPr>
      <w:r>
        <w:rPr>
          <w:rFonts w:hint="eastAsia"/>
          <w:sz w:val="24"/>
          <w:lang w:val="en-US" w:eastAsia="zh-CN"/>
        </w:rPr>
        <w:t>（1）术语和定义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lang w:val="en-US" w:eastAsia="zh-CN"/>
        </w:rPr>
      </w:pPr>
      <w:bookmarkStart w:id="2" w:name="_Toc1593"/>
      <w:bookmarkEnd w:id="2"/>
      <w:bookmarkStart w:id="3" w:name="_Toc2604"/>
      <w:bookmarkEnd w:id="3"/>
      <w:r>
        <w:rPr>
          <w:rFonts w:hint="eastAsia"/>
          <w:sz w:val="24"/>
          <w:lang w:val="en-US" w:eastAsia="zh-CN"/>
        </w:rPr>
        <w:t>以小麦、玉米等为培养基，将灵芝菌种接种在培养基里生长出菌丝体，经干燥、过筛、灭菌等工艺加工而成的粉状产品。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lang w:val="en-US" w:eastAsia="zh-CN"/>
        </w:rPr>
      </w:pPr>
      <w:r>
        <w:rPr>
          <w:rFonts w:hint="eastAsia"/>
          <w:sz w:val="24"/>
          <w:lang w:val="en-US" w:eastAsia="zh-CN"/>
        </w:rPr>
        <w:t>（2）原辅料要求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lang w:val="en-US" w:eastAsia="zh-CN"/>
        </w:rPr>
      </w:pPr>
      <w:r>
        <w:rPr>
          <w:rFonts w:hint="eastAsia"/>
          <w:sz w:val="24"/>
          <w:lang w:val="en-US" w:eastAsia="zh-CN"/>
        </w:rPr>
        <w:t>原辅料应符合相关国行标的规定，具体是：</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lang w:eastAsia="zh-CN"/>
        </w:rPr>
      </w:pPr>
      <w:r>
        <w:rPr>
          <w:rFonts w:hint="eastAsia"/>
          <w:sz w:val="24"/>
          <w:lang w:eastAsia="zh-CN"/>
        </w:rPr>
        <w:t>——玉米</w:t>
      </w:r>
      <w:r>
        <w:rPr>
          <w:rFonts w:hint="eastAsia"/>
          <w:sz w:val="24"/>
          <w:lang w:val="en-US" w:eastAsia="zh-CN"/>
        </w:rPr>
        <w:t>应</w:t>
      </w:r>
      <w:r>
        <w:rPr>
          <w:rFonts w:hint="eastAsia"/>
          <w:sz w:val="24"/>
          <w:lang w:eastAsia="zh-CN"/>
        </w:rPr>
        <w:t>符合GB 1353</w:t>
      </w:r>
      <w:r>
        <w:rPr>
          <w:rFonts w:hint="eastAsia"/>
          <w:sz w:val="24"/>
          <w:lang w:val="en-US" w:eastAsia="zh-CN"/>
        </w:rPr>
        <w:t>相关</w:t>
      </w:r>
      <w:r>
        <w:rPr>
          <w:rFonts w:hint="eastAsia"/>
          <w:sz w:val="24"/>
          <w:lang w:eastAsia="zh-CN"/>
        </w:rPr>
        <w:t>规定。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lang w:eastAsia="zh-CN"/>
        </w:rPr>
      </w:pPr>
      <w:r>
        <w:rPr>
          <w:rFonts w:hint="eastAsia"/>
          <w:sz w:val="24"/>
          <w:lang w:eastAsia="zh-CN"/>
        </w:rPr>
        <w:t>——小麦</w:t>
      </w:r>
      <w:r>
        <w:rPr>
          <w:rFonts w:hint="eastAsia"/>
          <w:sz w:val="24"/>
          <w:lang w:val="en-US" w:eastAsia="zh-CN"/>
        </w:rPr>
        <w:t>应</w:t>
      </w:r>
      <w:r>
        <w:rPr>
          <w:rFonts w:hint="eastAsia"/>
          <w:sz w:val="24"/>
          <w:lang w:eastAsia="zh-CN"/>
        </w:rPr>
        <w:t>符合GB 1351</w:t>
      </w:r>
      <w:r>
        <w:rPr>
          <w:rFonts w:hint="eastAsia"/>
          <w:sz w:val="24"/>
          <w:lang w:val="en-US" w:eastAsia="zh-CN"/>
        </w:rPr>
        <w:t>相关</w:t>
      </w:r>
      <w:r>
        <w:rPr>
          <w:rFonts w:hint="eastAsia"/>
          <w:sz w:val="24"/>
          <w:lang w:eastAsia="zh-CN"/>
        </w:rPr>
        <w:t>规定。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lang w:eastAsia="zh-CN"/>
        </w:rPr>
      </w:pPr>
      <w:r>
        <w:rPr>
          <w:rFonts w:hint="eastAsia"/>
          <w:sz w:val="24"/>
          <w:lang w:eastAsia="zh-CN"/>
        </w:rPr>
        <w:t>——其他原辅料应符合相应国家、行业标准要求。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lang w:val="en-US" w:eastAsia="zh-CN"/>
        </w:rPr>
      </w:pPr>
      <w:r>
        <w:rPr>
          <w:rFonts w:hint="eastAsia"/>
          <w:sz w:val="24"/>
          <w:lang w:val="en-US" w:eastAsia="zh-CN"/>
        </w:rPr>
        <w:t>（3）生产工艺要求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lang w:eastAsia="zh-CN"/>
        </w:rPr>
      </w:pPr>
      <w:r>
        <w:rPr>
          <w:rFonts w:hint="eastAsia"/>
          <w:sz w:val="24"/>
          <w:lang w:val="en-US" w:eastAsia="zh-CN"/>
        </w:rPr>
        <w:t>主要生产工艺按照企业实际生产过程，包括：灵芝菌种培养发酵→干燥→过筛→灭菌→检验→包。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lang w:eastAsia="zh-CN"/>
        </w:rPr>
      </w:pPr>
      <w:r>
        <w:rPr>
          <w:rFonts w:hint="eastAsia"/>
          <w:sz w:val="24"/>
          <w:lang w:val="en-US" w:eastAsia="zh-CN"/>
        </w:rPr>
        <w:t>产品生产卫生按照相关国家标准执行，即</w:t>
      </w:r>
      <w:r>
        <w:rPr>
          <w:rFonts w:hint="default"/>
          <w:sz w:val="24"/>
          <w:lang w:val="en-US" w:eastAsia="zh-CN"/>
        </w:rPr>
        <w:t>应</w:t>
      </w:r>
      <w:r>
        <w:rPr>
          <w:rFonts w:hint="eastAsia"/>
          <w:sz w:val="24"/>
          <w:lang w:val="en-US" w:eastAsia="zh-CN"/>
        </w:rPr>
        <w:t>符</w:t>
      </w:r>
      <w:r>
        <w:rPr>
          <w:rFonts w:hint="default"/>
          <w:sz w:val="24"/>
          <w:lang w:val="en-US" w:eastAsia="zh-CN"/>
        </w:rPr>
        <w:t>合GB 14881</w:t>
      </w:r>
      <w:r>
        <w:rPr>
          <w:rFonts w:hint="eastAsia"/>
          <w:sz w:val="24"/>
          <w:lang w:val="en-US" w:eastAsia="zh-CN"/>
        </w:rPr>
        <w:t>《食品安全国家标准 食品生产通用卫生规范》</w:t>
      </w:r>
      <w:r>
        <w:rPr>
          <w:rFonts w:hint="eastAsia"/>
          <w:sz w:val="24"/>
          <w:lang w:eastAsia="zh-CN"/>
        </w:rPr>
        <w:t>规定。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lang w:val="en-US" w:eastAsia="zh-CN"/>
        </w:rPr>
      </w:pPr>
      <w:r>
        <w:rPr>
          <w:rFonts w:hint="eastAsia"/>
          <w:sz w:val="24"/>
          <w:lang w:val="en-US" w:eastAsia="zh-CN"/>
        </w:rPr>
        <w:t>（4）质量要求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lang w:val="en-US" w:eastAsia="zh-CN"/>
        </w:rPr>
      </w:pPr>
      <w:r>
        <w:rPr>
          <w:rFonts w:hint="eastAsia"/>
          <w:sz w:val="24"/>
          <w:lang w:val="en-US" w:eastAsia="zh-CN"/>
        </w:rPr>
        <w:t>1）感官要求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lang w:val="en-US" w:eastAsia="zh-CN"/>
        </w:rPr>
      </w:pPr>
      <w:r>
        <w:rPr>
          <w:rFonts w:hint="eastAsia"/>
          <w:sz w:val="24"/>
          <w:lang w:val="en-US" w:eastAsia="zh-CN"/>
        </w:rPr>
        <w:t>按照产品特性确定，如表1所示。</w:t>
      </w:r>
    </w:p>
    <w:p>
      <w:pPr>
        <w:snapToGrid w:val="0"/>
        <w:spacing w:before="124" w:beforeLines="40" w:after="124" w:afterLines="40" w:line="360" w:lineRule="auto"/>
        <w:jc w:val="center"/>
        <w:rPr>
          <w:rFonts w:hint="eastAsia"/>
          <w:sz w:val="24"/>
          <w:lang w:val="en-US" w:eastAsia="zh-CN"/>
        </w:rPr>
      </w:pPr>
      <w:r>
        <w:rPr>
          <w:rFonts w:hint="eastAsia"/>
          <w:sz w:val="24"/>
          <w:lang w:val="en-US" w:eastAsia="zh-CN"/>
        </w:rPr>
        <w:t>表1 感官要求</w:t>
      </w:r>
    </w:p>
    <w:tbl>
      <w:tblPr>
        <w:tblStyle w:val="10"/>
        <w:tblW w:w="8291" w:type="dxa"/>
        <w:tblInd w:w="11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3394"/>
        <w:gridCol w:w="32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04" w:type="dxa"/>
            <w:tcBorders>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序  号</w:t>
            </w:r>
          </w:p>
        </w:tc>
        <w:tc>
          <w:tcPr>
            <w:tcW w:w="3394" w:type="dxa"/>
            <w:tcBorders>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项  目</w:t>
            </w:r>
          </w:p>
        </w:tc>
        <w:tc>
          <w:tcPr>
            <w:tcW w:w="3293" w:type="dxa"/>
            <w:tcBorders>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要  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604" w:type="dxa"/>
            <w:tcBorders>
              <w:top w:val="single" w:color="auto" w:sz="8"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3394" w:type="dxa"/>
            <w:tcBorders>
              <w:top w:val="single" w:color="auto" w:sz="8"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色  泽</w:t>
            </w:r>
          </w:p>
        </w:tc>
        <w:tc>
          <w:tcPr>
            <w:tcW w:w="3293" w:type="dxa"/>
            <w:tcBorders>
              <w:top w:val="single" w:color="auto" w:sz="8"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180" w:firstLineChars="10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黄褐色至棕褐色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4"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3394"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组织形态</w:t>
            </w:r>
          </w:p>
        </w:tc>
        <w:tc>
          <w:tcPr>
            <w:tcW w:w="329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180" w:firstLineChars="10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粉末，无结块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04"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3394"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滋味、气味</w:t>
            </w:r>
          </w:p>
        </w:tc>
        <w:tc>
          <w:tcPr>
            <w:tcW w:w="329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180" w:firstLineChars="1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具有本产品特有滋味、气味，无异味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04" w:type="dxa"/>
            <w:tcBorders>
              <w:top w:val="single" w:color="auto" w:sz="4" w:space="0"/>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3394" w:type="dxa"/>
            <w:tcBorders>
              <w:top w:val="single" w:color="auto" w:sz="4" w:space="0"/>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杂  质</w:t>
            </w:r>
          </w:p>
        </w:tc>
        <w:tc>
          <w:tcPr>
            <w:tcW w:w="3293" w:type="dxa"/>
            <w:tcBorders>
              <w:top w:val="single" w:color="auto" w:sz="4" w:space="0"/>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无正常视力可见外来杂质</w:t>
            </w:r>
          </w:p>
        </w:tc>
      </w:tr>
    </w:tbl>
    <w:p>
      <w:pPr>
        <w:snapToGrid w:val="0"/>
        <w:spacing w:before="124" w:beforeLines="40" w:after="124" w:afterLines="40" w:line="360" w:lineRule="auto"/>
        <w:jc w:val="center"/>
        <w:rPr>
          <w:rFonts w:ascii="宋体" w:hAnsi="宋体" w:eastAsia="宋体" w:cs="宋体"/>
          <w:sz w:val="24"/>
          <w:szCs w:val="24"/>
        </w:rPr>
      </w:pPr>
      <w:r>
        <w:rPr>
          <w:rFonts w:ascii="宋体" w:hAnsi="宋体" w:eastAsia="宋体" w:cs="宋体"/>
          <w:sz w:val="24"/>
          <w:szCs w:val="24"/>
        </w:rPr>
        <w:drawing>
          <wp:inline distT="0" distB="0" distL="114300" distR="114300">
            <wp:extent cx="3275330" cy="3275330"/>
            <wp:effectExtent l="0" t="0" r="1270" b="12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3275330" cy="3275330"/>
                    </a:xfrm>
                    <a:prstGeom prst="rect">
                      <a:avLst/>
                    </a:prstGeom>
                    <a:noFill/>
                    <a:ln w="9525">
                      <a:noFill/>
                    </a:ln>
                  </pic:spPr>
                </pic:pic>
              </a:graphicData>
            </a:graphic>
          </wp:inline>
        </w:drawing>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lang w:val="en-US" w:eastAsia="zh-CN"/>
        </w:rPr>
      </w:pPr>
      <w:r>
        <w:rPr>
          <w:rFonts w:hint="eastAsia"/>
          <w:sz w:val="24"/>
          <w:lang w:val="en-US" w:eastAsia="zh-CN"/>
        </w:rPr>
        <w:t>2）理化指标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lang w:val="en-US" w:eastAsia="zh-CN"/>
        </w:rPr>
      </w:pPr>
      <w:r>
        <w:rPr>
          <w:rFonts w:hint="eastAsia"/>
          <w:sz w:val="24"/>
          <w:lang w:val="en-US" w:eastAsia="zh-CN"/>
        </w:rPr>
        <w:t>水分指标参考GB/T 29602-2013《固体饮料》并结合企业验证数据确定。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lang w:val="en-US" w:eastAsia="zh-CN"/>
        </w:rPr>
      </w:pPr>
      <w:r>
        <w:rPr>
          <w:rFonts w:hint="eastAsia"/>
          <w:sz w:val="24"/>
          <w:lang w:val="en-US" w:eastAsia="zh-CN"/>
        </w:rPr>
        <w:t>灰分指标参考GH/T 1335-2021《</w:t>
      </w:r>
      <w:r>
        <w:rPr>
          <w:rFonts w:hint="default"/>
          <w:sz w:val="24"/>
          <w:lang w:val="en-US" w:eastAsia="zh-CN"/>
        </w:rPr>
        <w:t>灵芝孢子粉</w:t>
      </w:r>
      <w:r>
        <w:rPr>
          <w:rFonts w:hint="eastAsia"/>
          <w:sz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lang w:val="en-US" w:eastAsia="zh-CN"/>
        </w:rPr>
      </w:pPr>
      <w:r>
        <w:rPr>
          <w:rFonts w:hint="eastAsia"/>
          <w:sz w:val="24"/>
          <w:lang w:val="en-US" w:eastAsia="zh-CN"/>
        </w:rPr>
        <w:t>细度按照企业和专家意见，以过20目筛通过率计。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lang w:val="en-US" w:eastAsia="zh-CN"/>
        </w:rPr>
      </w:pPr>
      <w:r>
        <w:rPr>
          <w:rFonts w:hint="eastAsia"/>
          <w:sz w:val="24"/>
          <w:lang w:val="en-US" w:eastAsia="zh-CN"/>
        </w:rPr>
        <w:t>粗多糖，由于培养基的存在，通常高于灵芝孢子粉，经验证试验确定指标。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sz w:val="24"/>
          <w:lang w:val="en-US" w:eastAsia="zh-CN"/>
        </w:rPr>
      </w:pPr>
      <w:r>
        <w:rPr>
          <w:rFonts w:hint="eastAsia"/>
          <w:sz w:val="24"/>
          <w:lang w:val="en-US" w:eastAsia="zh-CN"/>
        </w:rPr>
        <w:t>总三萜，参考GH/T 1335-2021《</w:t>
      </w:r>
      <w:r>
        <w:rPr>
          <w:rFonts w:hint="default"/>
          <w:sz w:val="24"/>
          <w:lang w:val="en-US" w:eastAsia="zh-CN"/>
        </w:rPr>
        <w:t>灵芝孢子粉</w:t>
      </w:r>
      <w:r>
        <w:rPr>
          <w:rFonts w:hint="eastAsia"/>
          <w:sz w:val="24"/>
          <w:lang w:val="en-US" w:eastAsia="zh-CN"/>
        </w:rPr>
        <w:t>》指标但略低于灵芝孢子粉。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lang w:val="en-US" w:eastAsia="zh-CN"/>
        </w:rPr>
      </w:pPr>
      <w:r>
        <w:rPr>
          <w:rFonts w:hint="eastAsia"/>
          <w:sz w:val="24"/>
          <w:lang w:val="en-US" w:eastAsia="zh-CN"/>
        </w:rPr>
        <w:t>具体要求见表2，相关验证试验数据附后。</w:t>
      </w:r>
    </w:p>
    <w:p>
      <w:pPr>
        <w:snapToGrid w:val="0"/>
        <w:spacing w:before="124" w:beforeLines="40" w:after="124" w:afterLines="40" w:line="360" w:lineRule="auto"/>
        <w:jc w:val="center"/>
        <w:rPr>
          <w:rFonts w:hint="eastAsia"/>
          <w:sz w:val="24"/>
          <w:lang w:val="en-US" w:eastAsia="zh-CN"/>
        </w:rPr>
      </w:pPr>
      <w:r>
        <w:rPr>
          <w:rFonts w:hint="eastAsia"/>
          <w:sz w:val="24"/>
          <w:lang w:val="en-US" w:eastAsia="zh-CN"/>
        </w:rPr>
        <w:t>表2 理化指标</w:t>
      </w:r>
    </w:p>
    <w:tbl>
      <w:tblPr>
        <w:tblStyle w:val="10"/>
        <w:tblW w:w="8553" w:type="dxa"/>
        <w:tblInd w:w="11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3413"/>
        <w:gridCol w:w="35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96" w:type="dxa"/>
            <w:tcBorders>
              <w:bottom w:val="single" w:color="auto" w:sz="8" w:space="0"/>
            </w:tcBorders>
            <w:vAlign w:val="center"/>
          </w:tcPr>
          <w:p>
            <w:pPr>
              <w:pStyle w:val="16"/>
              <w:ind w:firstLine="0" w:firstLineChars="0"/>
              <w:jc w:val="center"/>
              <w:rPr>
                <w:rFonts w:cs="Times New Roman"/>
                <w:sz w:val="18"/>
                <w:szCs w:val="18"/>
                <w:highlight w:val="none"/>
              </w:rPr>
            </w:pPr>
            <w:r>
              <w:rPr>
                <w:rFonts w:cs="Times New Roman"/>
                <w:sz w:val="18"/>
                <w:szCs w:val="18"/>
                <w:highlight w:val="none"/>
              </w:rPr>
              <w:t>序</w:t>
            </w:r>
            <w:r>
              <w:rPr>
                <w:rFonts w:hint="eastAsia" w:cs="Times New Roman"/>
                <w:sz w:val="18"/>
                <w:szCs w:val="18"/>
                <w:highlight w:val="none"/>
              </w:rPr>
              <w:t xml:space="preserve">  </w:t>
            </w:r>
            <w:r>
              <w:rPr>
                <w:rFonts w:cs="Times New Roman"/>
                <w:sz w:val="18"/>
                <w:szCs w:val="18"/>
                <w:highlight w:val="none"/>
              </w:rPr>
              <w:t>号</w:t>
            </w:r>
          </w:p>
        </w:tc>
        <w:tc>
          <w:tcPr>
            <w:tcW w:w="3413" w:type="dxa"/>
            <w:tcBorders>
              <w:bottom w:val="single" w:color="auto" w:sz="8" w:space="0"/>
            </w:tcBorders>
            <w:vAlign w:val="center"/>
          </w:tcPr>
          <w:p>
            <w:pPr>
              <w:pStyle w:val="16"/>
              <w:ind w:firstLine="0" w:firstLineChars="0"/>
              <w:jc w:val="center"/>
              <w:rPr>
                <w:rFonts w:cs="Times New Roman"/>
                <w:sz w:val="18"/>
                <w:szCs w:val="18"/>
                <w:highlight w:val="none"/>
              </w:rPr>
            </w:pPr>
            <w:r>
              <w:rPr>
                <w:rFonts w:cs="Times New Roman"/>
                <w:sz w:val="18"/>
                <w:szCs w:val="18"/>
                <w:highlight w:val="none"/>
              </w:rPr>
              <w:t>项</w:t>
            </w:r>
            <w:r>
              <w:rPr>
                <w:rFonts w:hint="eastAsia" w:cs="Times New Roman"/>
                <w:sz w:val="18"/>
                <w:szCs w:val="18"/>
                <w:highlight w:val="none"/>
              </w:rPr>
              <w:t xml:space="preserve">  </w:t>
            </w:r>
            <w:r>
              <w:rPr>
                <w:rFonts w:cs="Times New Roman"/>
                <w:sz w:val="18"/>
                <w:szCs w:val="18"/>
                <w:highlight w:val="none"/>
              </w:rPr>
              <w:t>目</w:t>
            </w:r>
          </w:p>
        </w:tc>
        <w:tc>
          <w:tcPr>
            <w:tcW w:w="3544" w:type="dxa"/>
            <w:tcBorders>
              <w:bottom w:val="single" w:color="auto" w:sz="8" w:space="0"/>
            </w:tcBorders>
            <w:vAlign w:val="center"/>
          </w:tcPr>
          <w:p>
            <w:pPr>
              <w:pStyle w:val="16"/>
              <w:ind w:firstLine="0" w:firstLineChars="0"/>
              <w:jc w:val="center"/>
              <w:rPr>
                <w:rFonts w:cs="Times New Roman"/>
                <w:sz w:val="18"/>
                <w:szCs w:val="18"/>
                <w:highlight w:val="none"/>
              </w:rPr>
            </w:pPr>
            <w:r>
              <w:rPr>
                <w:rFonts w:cs="Times New Roman"/>
                <w:sz w:val="18"/>
                <w:szCs w:val="18"/>
                <w:highlight w:val="none"/>
              </w:rPr>
              <w:t>要</w:t>
            </w:r>
            <w:r>
              <w:rPr>
                <w:rFonts w:hint="eastAsia" w:cs="Times New Roman"/>
                <w:sz w:val="18"/>
                <w:szCs w:val="18"/>
                <w:highlight w:val="none"/>
              </w:rPr>
              <w:t xml:space="preserve">  </w:t>
            </w:r>
            <w:r>
              <w:rPr>
                <w:rFonts w:cs="Times New Roman"/>
                <w:sz w:val="18"/>
                <w:szCs w:val="18"/>
                <w:highlight w:val="none"/>
              </w:rPr>
              <w:t>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596" w:type="dxa"/>
            <w:tcBorders>
              <w:top w:val="single" w:color="auto" w:sz="4" w:space="0"/>
              <w:bottom w:val="single" w:color="auto" w:sz="4" w:space="0"/>
            </w:tcBorders>
            <w:vAlign w:val="center"/>
          </w:tcPr>
          <w:p>
            <w:pPr>
              <w:pStyle w:val="16"/>
              <w:ind w:firstLine="0" w:firstLineChars="0"/>
              <w:jc w:val="center"/>
              <w:rPr>
                <w:rFonts w:hint="eastAsia" w:cs="Times New Roman"/>
                <w:sz w:val="18"/>
                <w:szCs w:val="18"/>
                <w:lang w:eastAsia="zh-CN"/>
              </w:rPr>
            </w:pPr>
            <w:r>
              <w:rPr>
                <w:rFonts w:hint="eastAsia" w:cs="Times New Roman"/>
                <w:sz w:val="18"/>
                <w:szCs w:val="18"/>
                <w:lang w:val="en-US" w:eastAsia="zh-CN"/>
              </w:rPr>
              <w:t>1</w:t>
            </w:r>
          </w:p>
        </w:tc>
        <w:tc>
          <w:tcPr>
            <w:tcW w:w="3413" w:type="dxa"/>
            <w:tcBorders>
              <w:top w:val="single" w:color="auto" w:sz="4" w:space="0"/>
              <w:bottom w:val="single" w:color="auto" w:sz="4" w:space="0"/>
            </w:tcBorders>
            <w:vAlign w:val="center"/>
          </w:tcPr>
          <w:p>
            <w:pPr>
              <w:pStyle w:val="16"/>
              <w:ind w:firstLine="0" w:firstLineChars="0"/>
              <w:jc w:val="right"/>
              <w:rPr>
                <w:rFonts w:hint="eastAsia" w:cs="Times New Roman"/>
                <w:sz w:val="18"/>
                <w:szCs w:val="18"/>
              </w:rPr>
            </w:pPr>
            <w:r>
              <w:rPr>
                <w:rFonts w:hint="eastAsia" w:cs="Times New Roman"/>
                <w:sz w:val="18"/>
                <w:szCs w:val="18"/>
              </w:rPr>
              <w:t xml:space="preserve">         水分/（</w:t>
            </w:r>
            <w:r>
              <w:rPr>
                <w:rFonts w:hint="eastAsia" w:cs="Times New Roman"/>
                <w:sz w:val="18"/>
                <w:szCs w:val="18"/>
                <w:lang w:val="en-US" w:eastAsia="zh-CN"/>
              </w:rPr>
              <w:t>g/100g</w:t>
            </w:r>
            <w:r>
              <w:rPr>
                <w:rFonts w:hint="eastAsia" w:cs="Times New Roman"/>
                <w:sz w:val="18"/>
                <w:szCs w:val="18"/>
              </w:rPr>
              <w:t xml:space="preserve">）     </w:t>
            </w:r>
            <w:r>
              <w:rPr>
                <w:rFonts w:hint="eastAsia" w:cs="Times New Roman"/>
                <w:sz w:val="18"/>
                <w:szCs w:val="18"/>
                <w:lang w:val="en-US" w:eastAsia="zh-CN"/>
              </w:rPr>
              <w:t xml:space="preserve">   </w:t>
            </w:r>
            <w:r>
              <w:rPr>
                <w:rFonts w:hint="eastAsia" w:cs="Times New Roman"/>
                <w:sz w:val="18"/>
                <w:szCs w:val="18"/>
              </w:rPr>
              <w:t>≤</w:t>
            </w:r>
          </w:p>
        </w:tc>
        <w:tc>
          <w:tcPr>
            <w:tcW w:w="3544" w:type="dxa"/>
            <w:tcBorders>
              <w:top w:val="single" w:color="auto" w:sz="4" w:space="0"/>
              <w:bottom w:val="single" w:color="auto" w:sz="4" w:space="0"/>
            </w:tcBorders>
            <w:vAlign w:val="center"/>
          </w:tcPr>
          <w:p>
            <w:pPr>
              <w:pStyle w:val="16"/>
              <w:ind w:firstLine="0" w:firstLineChars="0"/>
              <w:jc w:val="center"/>
              <w:rPr>
                <w:rFonts w:hint="default" w:cs="Times New Roman"/>
                <w:sz w:val="18"/>
                <w:szCs w:val="18"/>
                <w:lang w:val="en-US" w:eastAsia="zh-CN"/>
              </w:rPr>
            </w:pPr>
            <w:r>
              <w:rPr>
                <w:rFonts w:hint="eastAsia" w:cs="Times New Roman"/>
                <w:sz w:val="18"/>
                <w:szCs w:val="18"/>
                <w:lang w:val="en-US" w:eastAsia="zh-CN"/>
              </w:rPr>
              <w:t xml:space="preserve">8.0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596" w:type="dxa"/>
            <w:tcBorders>
              <w:top w:val="single" w:color="auto" w:sz="4" w:space="0"/>
              <w:bottom w:val="single" w:color="auto" w:sz="4" w:space="0"/>
            </w:tcBorders>
            <w:vAlign w:val="center"/>
          </w:tcPr>
          <w:p>
            <w:pPr>
              <w:pStyle w:val="16"/>
              <w:ind w:firstLine="0" w:firstLineChars="0"/>
              <w:jc w:val="center"/>
              <w:rPr>
                <w:rFonts w:hint="default" w:cs="Times New Roman"/>
                <w:sz w:val="18"/>
                <w:szCs w:val="18"/>
                <w:lang w:val="en-US" w:eastAsia="zh-CN"/>
              </w:rPr>
            </w:pPr>
            <w:r>
              <w:rPr>
                <w:rFonts w:hint="eastAsia" w:cs="Times New Roman"/>
                <w:sz w:val="18"/>
                <w:szCs w:val="18"/>
                <w:lang w:val="en-US" w:eastAsia="zh-CN"/>
              </w:rPr>
              <w:t>2</w:t>
            </w:r>
          </w:p>
        </w:tc>
        <w:tc>
          <w:tcPr>
            <w:tcW w:w="3413" w:type="dxa"/>
            <w:tcBorders>
              <w:top w:val="single" w:color="auto" w:sz="4" w:space="0"/>
              <w:bottom w:val="single" w:color="auto" w:sz="4" w:space="0"/>
            </w:tcBorders>
            <w:vAlign w:val="center"/>
          </w:tcPr>
          <w:p>
            <w:pPr>
              <w:pStyle w:val="16"/>
              <w:ind w:firstLine="0" w:firstLineChars="0"/>
              <w:jc w:val="right"/>
              <w:rPr>
                <w:rFonts w:hint="eastAsia" w:eastAsia="宋体" w:cs="Times New Roman"/>
                <w:sz w:val="18"/>
                <w:szCs w:val="18"/>
                <w:lang w:val="en-US" w:eastAsia="zh-CN"/>
              </w:rPr>
            </w:pPr>
            <w:r>
              <w:rPr>
                <w:rFonts w:hint="eastAsia" w:cs="Times New Roman"/>
                <w:sz w:val="18"/>
                <w:szCs w:val="18"/>
                <w:lang w:val="en-US" w:eastAsia="zh-CN"/>
              </w:rPr>
              <w:t>灰分</w:t>
            </w:r>
            <w:r>
              <w:rPr>
                <w:rFonts w:hint="eastAsia" w:cs="Times New Roman"/>
                <w:sz w:val="18"/>
                <w:szCs w:val="18"/>
              </w:rPr>
              <w:t>/（</w:t>
            </w:r>
            <w:r>
              <w:rPr>
                <w:rFonts w:hint="eastAsia" w:cs="Times New Roman"/>
                <w:sz w:val="18"/>
                <w:szCs w:val="18"/>
                <w:lang w:val="en-US" w:eastAsia="zh-CN"/>
              </w:rPr>
              <w:t>g/100g</w:t>
            </w:r>
            <w:r>
              <w:rPr>
                <w:rFonts w:hint="eastAsia" w:cs="Times New Roman"/>
                <w:sz w:val="18"/>
                <w:szCs w:val="18"/>
              </w:rPr>
              <w:t>）</w:t>
            </w:r>
            <w:r>
              <w:rPr>
                <w:rFonts w:hint="eastAsia" w:cs="Times New Roman"/>
                <w:sz w:val="18"/>
                <w:szCs w:val="18"/>
                <w:lang w:val="en-US" w:eastAsia="zh-CN"/>
              </w:rPr>
              <w:t xml:space="preserve">        </w:t>
            </w:r>
            <w:r>
              <w:rPr>
                <w:rFonts w:hint="eastAsia" w:cs="Times New Roman"/>
                <w:sz w:val="18"/>
                <w:szCs w:val="18"/>
              </w:rPr>
              <w:t>≤</w:t>
            </w:r>
          </w:p>
        </w:tc>
        <w:tc>
          <w:tcPr>
            <w:tcW w:w="3544" w:type="dxa"/>
            <w:tcBorders>
              <w:top w:val="single" w:color="auto" w:sz="4" w:space="0"/>
              <w:bottom w:val="single" w:color="auto" w:sz="4" w:space="0"/>
            </w:tcBorders>
            <w:vAlign w:val="center"/>
          </w:tcPr>
          <w:p>
            <w:pPr>
              <w:pStyle w:val="16"/>
              <w:ind w:firstLine="0" w:firstLineChars="0"/>
              <w:jc w:val="center"/>
              <w:rPr>
                <w:rFonts w:hint="default" w:cs="Times New Roman"/>
                <w:sz w:val="18"/>
                <w:szCs w:val="18"/>
                <w:lang w:val="en-US" w:eastAsia="zh-CN"/>
              </w:rPr>
            </w:pPr>
            <w:r>
              <w:rPr>
                <w:rFonts w:hint="eastAsia" w:cs="Times New Roman"/>
                <w:sz w:val="18"/>
                <w:szCs w:val="18"/>
                <w:lang w:val="en-US" w:eastAsia="zh-CN"/>
              </w:rPr>
              <w:t>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596" w:type="dxa"/>
            <w:tcBorders>
              <w:top w:val="single" w:color="auto" w:sz="4" w:space="0"/>
              <w:bottom w:val="single" w:color="auto" w:sz="4" w:space="0"/>
            </w:tcBorders>
            <w:vAlign w:val="center"/>
          </w:tcPr>
          <w:p>
            <w:pPr>
              <w:pStyle w:val="16"/>
              <w:ind w:firstLine="0" w:firstLineChars="0"/>
              <w:jc w:val="center"/>
              <w:rPr>
                <w:rFonts w:hint="default" w:cs="Times New Roman"/>
                <w:sz w:val="18"/>
                <w:szCs w:val="18"/>
                <w:lang w:val="en-US" w:eastAsia="zh-CN"/>
              </w:rPr>
            </w:pPr>
            <w:r>
              <w:rPr>
                <w:rFonts w:hint="eastAsia" w:cs="Times New Roman"/>
                <w:sz w:val="18"/>
                <w:szCs w:val="18"/>
                <w:lang w:val="en-US" w:eastAsia="zh-CN"/>
              </w:rPr>
              <w:t>3</w:t>
            </w:r>
          </w:p>
        </w:tc>
        <w:tc>
          <w:tcPr>
            <w:tcW w:w="3413" w:type="dxa"/>
            <w:tcBorders>
              <w:top w:val="single" w:color="auto" w:sz="4" w:space="0"/>
              <w:bottom w:val="single" w:color="auto" w:sz="4" w:space="0"/>
            </w:tcBorders>
            <w:vAlign w:val="center"/>
          </w:tcPr>
          <w:p>
            <w:pPr>
              <w:pStyle w:val="16"/>
              <w:ind w:left="0" w:leftChars="0" w:firstLine="0" w:firstLineChars="0"/>
              <w:jc w:val="both"/>
              <w:rPr>
                <w:rFonts w:hint="eastAsia" w:eastAsia="宋体" w:cs="Times New Roman"/>
                <w:sz w:val="18"/>
                <w:szCs w:val="18"/>
                <w:lang w:val="en-US" w:eastAsia="zh-CN"/>
              </w:rPr>
            </w:pPr>
            <w:r>
              <w:rPr>
                <w:rFonts w:hint="eastAsia" w:cs="Times New Roman"/>
                <w:sz w:val="18"/>
                <w:szCs w:val="18"/>
                <w:lang w:val="en-US" w:eastAsia="zh-CN"/>
              </w:rPr>
              <w:t>细度（以过100目筛通过率计）/（%） ≥</w:t>
            </w:r>
          </w:p>
        </w:tc>
        <w:tc>
          <w:tcPr>
            <w:tcW w:w="3544" w:type="dxa"/>
            <w:tcBorders>
              <w:top w:val="single" w:color="auto" w:sz="4" w:space="0"/>
              <w:bottom w:val="single" w:color="auto" w:sz="4" w:space="0"/>
            </w:tcBorders>
            <w:vAlign w:val="center"/>
          </w:tcPr>
          <w:p>
            <w:pPr>
              <w:pStyle w:val="16"/>
              <w:ind w:firstLine="0" w:firstLineChars="0"/>
              <w:jc w:val="center"/>
              <w:rPr>
                <w:rFonts w:hint="default" w:cs="Times New Roman"/>
                <w:sz w:val="18"/>
                <w:szCs w:val="18"/>
                <w:highlight w:val="none"/>
                <w:lang w:val="en-US" w:eastAsia="zh-CN"/>
              </w:rPr>
            </w:pPr>
            <w:r>
              <w:rPr>
                <w:rFonts w:hint="eastAsia" w:cs="Times New Roman"/>
                <w:sz w:val="18"/>
                <w:szCs w:val="18"/>
                <w:highlight w:val="none"/>
                <w:lang w:val="en-US" w:eastAsia="zh-CN"/>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596" w:type="dxa"/>
            <w:tcBorders>
              <w:top w:val="single" w:color="auto" w:sz="4" w:space="0"/>
              <w:bottom w:val="single" w:color="auto" w:sz="4" w:space="0"/>
            </w:tcBorders>
            <w:vAlign w:val="center"/>
          </w:tcPr>
          <w:p>
            <w:pPr>
              <w:pStyle w:val="16"/>
              <w:ind w:firstLine="0" w:firstLineChars="0"/>
              <w:jc w:val="center"/>
              <w:rPr>
                <w:rFonts w:hint="default" w:cs="Times New Roman"/>
                <w:sz w:val="18"/>
                <w:szCs w:val="18"/>
                <w:lang w:val="en-US" w:eastAsia="zh-CN"/>
              </w:rPr>
            </w:pPr>
            <w:r>
              <w:rPr>
                <w:rFonts w:hint="eastAsia" w:cs="Times New Roman"/>
                <w:sz w:val="18"/>
                <w:szCs w:val="18"/>
                <w:lang w:val="en-US" w:eastAsia="zh-CN"/>
              </w:rPr>
              <w:t>4</w:t>
            </w:r>
          </w:p>
        </w:tc>
        <w:tc>
          <w:tcPr>
            <w:tcW w:w="3413" w:type="dxa"/>
            <w:tcBorders>
              <w:top w:val="single" w:color="auto" w:sz="4" w:space="0"/>
              <w:bottom w:val="single" w:color="auto" w:sz="4" w:space="0"/>
            </w:tcBorders>
            <w:vAlign w:val="center"/>
          </w:tcPr>
          <w:p>
            <w:pPr>
              <w:pStyle w:val="16"/>
              <w:ind w:firstLine="0" w:firstLineChars="0"/>
              <w:jc w:val="right"/>
              <w:rPr>
                <w:rFonts w:hint="eastAsia" w:cs="Times New Roman"/>
                <w:sz w:val="18"/>
                <w:szCs w:val="18"/>
                <w:lang w:val="en-US" w:eastAsia="zh-CN"/>
              </w:rPr>
            </w:pPr>
            <w:r>
              <w:rPr>
                <w:rFonts w:hint="eastAsia" w:cs="Times New Roman"/>
                <w:sz w:val="18"/>
                <w:szCs w:val="18"/>
                <w:lang w:val="en-US" w:eastAsia="zh-CN"/>
              </w:rPr>
              <w:t>粗多糖（以葡萄糖计）/（%） ≥</w:t>
            </w:r>
          </w:p>
        </w:tc>
        <w:tc>
          <w:tcPr>
            <w:tcW w:w="3544" w:type="dxa"/>
            <w:tcBorders>
              <w:top w:val="single" w:color="auto" w:sz="4" w:space="0"/>
              <w:bottom w:val="single" w:color="auto" w:sz="4" w:space="0"/>
            </w:tcBorders>
            <w:vAlign w:val="center"/>
          </w:tcPr>
          <w:p>
            <w:pPr>
              <w:pStyle w:val="16"/>
              <w:ind w:firstLine="0" w:firstLineChars="0"/>
              <w:jc w:val="center"/>
              <w:rPr>
                <w:rFonts w:hint="default" w:cs="Times New Roman"/>
                <w:sz w:val="18"/>
                <w:szCs w:val="18"/>
                <w:highlight w:val="none"/>
                <w:lang w:val="en-US" w:eastAsia="zh-CN"/>
              </w:rPr>
            </w:pPr>
            <w:r>
              <w:rPr>
                <w:rFonts w:hint="eastAsia" w:cs="Times New Roman"/>
                <w:sz w:val="18"/>
                <w:szCs w:val="18"/>
                <w:highlight w:val="none"/>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596" w:type="dxa"/>
            <w:tcBorders>
              <w:top w:val="single" w:color="auto" w:sz="4" w:space="0"/>
              <w:bottom w:val="single" w:color="auto" w:sz="8" w:space="0"/>
            </w:tcBorders>
            <w:vAlign w:val="center"/>
          </w:tcPr>
          <w:p>
            <w:pPr>
              <w:pStyle w:val="16"/>
              <w:ind w:firstLine="0" w:firstLineChars="0"/>
              <w:jc w:val="center"/>
              <w:rPr>
                <w:rFonts w:hint="default" w:cs="Times New Roman"/>
                <w:sz w:val="18"/>
                <w:szCs w:val="18"/>
                <w:lang w:val="en-US" w:eastAsia="zh-CN"/>
              </w:rPr>
            </w:pPr>
            <w:r>
              <w:rPr>
                <w:rFonts w:hint="eastAsia" w:cs="Times New Roman"/>
                <w:sz w:val="18"/>
                <w:szCs w:val="18"/>
                <w:lang w:val="en-US" w:eastAsia="zh-CN"/>
              </w:rPr>
              <w:t>5</w:t>
            </w:r>
          </w:p>
        </w:tc>
        <w:tc>
          <w:tcPr>
            <w:tcW w:w="3413" w:type="dxa"/>
            <w:tcBorders>
              <w:top w:val="single" w:color="auto" w:sz="4" w:space="0"/>
              <w:bottom w:val="single" w:color="auto" w:sz="8" w:space="0"/>
            </w:tcBorders>
            <w:vAlign w:val="center"/>
          </w:tcPr>
          <w:p>
            <w:pPr>
              <w:pStyle w:val="16"/>
              <w:ind w:firstLine="0" w:firstLineChars="0"/>
              <w:jc w:val="right"/>
              <w:rPr>
                <w:rFonts w:hint="eastAsia" w:cs="Times New Roman"/>
                <w:sz w:val="18"/>
                <w:szCs w:val="18"/>
                <w:lang w:val="en-US" w:eastAsia="zh-CN"/>
              </w:rPr>
            </w:pPr>
            <w:r>
              <w:rPr>
                <w:rFonts w:hint="eastAsia" w:cs="Times New Roman"/>
                <w:sz w:val="18"/>
                <w:szCs w:val="18"/>
                <w:lang w:val="en-US" w:eastAsia="zh-CN"/>
              </w:rPr>
              <w:t>总三萜（以熊果酸计）/（g/100g） ≥</w:t>
            </w:r>
          </w:p>
        </w:tc>
        <w:tc>
          <w:tcPr>
            <w:tcW w:w="3544" w:type="dxa"/>
            <w:tcBorders>
              <w:top w:val="single" w:color="auto" w:sz="4" w:space="0"/>
              <w:bottom w:val="single" w:color="auto" w:sz="8" w:space="0"/>
            </w:tcBorders>
            <w:vAlign w:val="center"/>
          </w:tcPr>
          <w:p>
            <w:pPr>
              <w:pStyle w:val="16"/>
              <w:ind w:firstLine="0" w:firstLineChars="0"/>
              <w:jc w:val="center"/>
              <w:rPr>
                <w:rFonts w:hint="default" w:cs="Times New Roman"/>
                <w:sz w:val="18"/>
                <w:szCs w:val="18"/>
                <w:highlight w:val="none"/>
                <w:lang w:val="en-US" w:eastAsia="zh-CN"/>
              </w:rPr>
            </w:pPr>
            <w:r>
              <w:rPr>
                <w:rFonts w:hint="eastAsia" w:cs="Times New Roman"/>
                <w:sz w:val="18"/>
                <w:szCs w:val="18"/>
                <w:highlight w:val="none"/>
                <w:lang w:val="en-US" w:eastAsia="zh-CN"/>
              </w:rPr>
              <w:t>0.3</w:t>
            </w:r>
          </w:p>
        </w:tc>
      </w:tr>
    </w:tbl>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lang w:val="en-US" w:eastAsia="zh-CN"/>
        </w:rPr>
      </w:pPr>
      <w:r>
        <w:rPr>
          <w:rFonts w:hint="eastAsia"/>
          <w:sz w:val="24"/>
          <w:lang w:val="en-US" w:eastAsia="zh-CN"/>
        </w:rPr>
        <w:t>3）</w:t>
      </w:r>
      <w:bookmarkStart w:id="4" w:name="_Toc418"/>
      <w:r>
        <w:rPr>
          <w:rFonts w:hint="eastAsia"/>
          <w:sz w:val="24"/>
          <w:lang w:val="en-US" w:eastAsia="zh-CN"/>
        </w:rPr>
        <w:t>污染物限量</w:t>
      </w:r>
      <w:bookmarkEnd w:id="4"/>
      <w:r>
        <w:rPr>
          <w:rFonts w:hint="eastAsia"/>
          <w:sz w:val="24"/>
          <w:lang w:val="en-US" w:eastAsia="zh-CN"/>
        </w:rPr>
        <w:t>、</w:t>
      </w:r>
      <w:bookmarkStart w:id="5" w:name="_Toc12565"/>
      <w:bookmarkStart w:id="6" w:name="_Toc17513"/>
      <w:r>
        <w:rPr>
          <w:rFonts w:hint="eastAsia"/>
          <w:sz w:val="24"/>
          <w:lang w:val="en-US" w:eastAsia="zh-CN"/>
        </w:rPr>
        <w:t>微生物限量</w:t>
      </w:r>
      <w:bookmarkEnd w:id="5"/>
      <w:bookmarkEnd w:id="6"/>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lang w:val="en-US" w:eastAsia="zh-CN"/>
        </w:rPr>
      </w:pPr>
      <w:r>
        <w:rPr>
          <w:rFonts w:hint="eastAsia"/>
          <w:sz w:val="24"/>
          <w:lang w:val="en-US" w:eastAsia="zh-CN"/>
        </w:rPr>
        <w:t>参考GB 7101-2015《食品安全国家标准 饮料》及相关食品安全国家标准。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eastAsia="黑体"/>
          <w:sz w:val="24"/>
        </w:rPr>
      </w:pPr>
      <w:r>
        <w:rPr>
          <w:rFonts w:hint="eastAsia" w:ascii="黑体" w:eastAsia="黑体"/>
          <w:sz w:val="24"/>
        </w:rPr>
        <w:t>三、与现行法律法规、强制性标准和其他有关标准的关系，采用国际标准的程度及水平简要说明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rPr>
      </w:pPr>
      <w:r>
        <w:rPr>
          <w:rFonts w:hint="eastAsia"/>
          <w:sz w:val="24"/>
        </w:rPr>
        <w:t>本标准与现行法律法规、强制性标准和其他有关标准协调一致。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rPr>
      </w:pPr>
      <w:r>
        <w:rPr>
          <w:rFonts w:hint="eastAsia"/>
          <w:sz w:val="24"/>
        </w:rPr>
        <w:t>本标准制定过程中未查询到国际标准。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eastAsia="黑体"/>
          <w:sz w:val="24"/>
        </w:rPr>
      </w:pPr>
      <w:r>
        <w:rPr>
          <w:rFonts w:hint="eastAsia" w:ascii="黑体" w:eastAsia="黑体"/>
          <w:sz w:val="24"/>
        </w:rPr>
        <w:t>四、重大分歧意见的处理结果和依据。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rPr>
      </w:pPr>
      <w:r>
        <w:rPr>
          <w:rFonts w:hint="eastAsia"/>
          <w:sz w:val="24"/>
        </w:rPr>
        <w:t>本标准制定过程中无重大分歧意见。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eastAsia="黑体"/>
          <w:sz w:val="24"/>
        </w:rPr>
      </w:pPr>
      <w:r>
        <w:rPr>
          <w:rFonts w:hint="eastAsia" w:ascii="黑体" w:eastAsia="黑体"/>
          <w:sz w:val="24"/>
        </w:rPr>
        <w:t>五、贯彻促进会标准的要求和措施建议（包括组织措施、技术措施、过渡办法等内容）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sz w:val="24"/>
          <w:lang w:val="en-US" w:eastAsia="zh-CN"/>
        </w:rPr>
      </w:pPr>
      <w:r>
        <w:rPr>
          <w:rFonts w:hint="eastAsia"/>
          <w:sz w:val="24"/>
          <w:lang w:val="en-US" w:eastAsia="zh-CN"/>
        </w:rPr>
        <w:t>建议发布即实施。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eastAsia="黑体"/>
          <w:sz w:val="24"/>
        </w:rPr>
      </w:pPr>
      <w:r>
        <w:rPr>
          <w:rFonts w:hint="eastAsia" w:ascii="黑体" w:eastAsia="黑体"/>
          <w:sz w:val="24"/>
        </w:rPr>
        <w:t>六、其他应予说明的事项。</w:t>
      </w:r>
    </w:p>
    <w:p>
      <w:pPr>
        <w:pStyle w:val="18"/>
        <w:spacing w:line="360" w:lineRule="auto"/>
        <w:ind w:firstLine="480"/>
        <w:rPr>
          <w:rFonts w:hint="eastAsia" w:ascii="ˎ̥" w:hAnsi="ˎ̥"/>
          <w:sz w:val="24"/>
          <w:lang w:val="en-US" w:eastAsia="zh-CN"/>
        </w:rPr>
      </w:pPr>
      <w:r>
        <w:rPr>
          <w:rFonts w:hint="eastAsia" w:ascii="ˎ̥" w:hAnsi="ˎ̥"/>
          <w:sz w:val="24"/>
          <w:lang w:val="en-US" w:eastAsia="zh-CN"/>
        </w:rPr>
        <w:t>无。</w:t>
      </w:r>
    </w:p>
    <w:p>
      <w:pPr>
        <w:pStyle w:val="18"/>
        <w:spacing w:line="360" w:lineRule="auto"/>
        <w:ind w:left="0" w:leftChars="0" w:firstLine="0" w:firstLineChars="0"/>
        <w:rPr>
          <w:rFonts w:hint="eastAsia" w:ascii="ˎ̥" w:hAnsi="ˎ̥"/>
          <w:sz w:val="24"/>
          <w:lang w:val="en-US" w:eastAsia="zh-CN"/>
        </w:rPr>
      </w:pPr>
    </w:p>
    <w:p>
      <w:pPr>
        <w:pStyle w:val="18"/>
        <w:spacing w:line="360" w:lineRule="auto"/>
        <w:ind w:left="0" w:leftChars="0" w:firstLine="0" w:firstLineChars="0"/>
        <w:rPr>
          <w:rFonts w:hint="eastAsia" w:ascii="ˎ̥" w:hAnsi="ˎ̥"/>
          <w:sz w:val="24"/>
          <w:lang w:val="en-US" w:eastAsia="zh-CN"/>
        </w:rPr>
      </w:pPr>
      <w:bookmarkStart w:id="7" w:name="_GoBack"/>
      <w:bookmarkEnd w:id="7"/>
    </w:p>
    <w:p>
      <w:pPr>
        <w:pStyle w:val="18"/>
        <w:spacing w:line="360" w:lineRule="auto"/>
        <w:ind w:left="0" w:leftChars="0" w:firstLine="0" w:firstLineChars="0"/>
        <w:rPr>
          <w:rFonts w:hint="eastAsia" w:ascii="ˎ̥" w:hAnsi="ˎ̥"/>
          <w:sz w:val="24"/>
          <w:lang w:val="en-US" w:eastAsia="zh-CN"/>
        </w:rPr>
      </w:pPr>
      <w:r>
        <w:rPr>
          <w:rFonts w:hint="eastAsia" w:ascii="ˎ̥" w:hAnsi="ˎ̥"/>
          <w:sz w:val="24"/>
          <w:lang w:val="en-US" w:eastAsia="zh-CN"/>
        </w:rPr>
        <w:t>附验证数据：</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05621605"/>
                  <w:docPartObj>
                    <w:docPartGallery w:val="autotext"/>
                  </w:docPartObj>
                </w:sdtPr>
                <w:sdtContent>
                  <w:sdt>
                    <w:sdtPr>
                      <w:id w:val="-1705238520"/>
                      <w:docPartObj>
                        <w:docPartGallery w:val="autotext"/>
                      </w:docPartObj>
                    </w:sdtPr>
                    <w:sdtContent>
                      <w:p>
                        <w:pPr>
                          <w:pStyle w:val="5"/>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txbxContent>
          </v:textbox>
        </v:shape>
      </w:pic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32610F"/>
    <w:multiLevelType w:val="multilevel"/>
    <w:tmpl w:val="2E32610F"/>
    <w:lvl w:ilvl="0" w:tentative="0">
      <w:start w:val="1"/>
      <w:numFmt w:val="decimal"/>
      <w:pStyle w:val="39"/>
      <w:lvlText w:val="图%1 "/>
      <w:lvlJc w:val="left"/>
      <w:pPr>
        <w:ind w:left="220" w:hanging="420"/>
      </w:pPr>
      <w:rPr>
        <w:rFonts w:hint="default" w:ascii="Times New Roman" w:hAnsi="Times New Roman" w:eastAsia="黑体"/>
        <w:sz w:val="21"/>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1">
    <w:nsid w:val="3D1C17D8"/>
    <w:multiLevelType w:val="multilevel"/>
    <w:tmpl w:val="3D1C17D8"/>
    <w:lvl w:ilvl="0" w:tentative="0">
      <w:start w:val="1"/>
      <w:numFmt w:val="decimal"/>
      <w:pStyle w:val="38"/>
      <w:lvlText w:val="表%1 "/>
      <w:lvlJc w:val="left"/>
      <w:pPr>
        <w:ind w:left="1890" w:hanging="420"/>
      </w:pPr>
      <w:rPr>
        <w:rFonts w:hint="default" w:ascii="黑体" w:hAnsi="黑体" w:eastAsia="黑体" w:cs="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EA2025"/>
    <w:multiLevelType w:val="multilevel"/>
    <w:tmpl w:val="6CEA2025"/>
    <w:lvl w:ilvl="0" w:tentative="0">
      <w:start w:val="1"/>
      <w:numFmt w:val="none"/>
      <w:pStyle w:val="31"/>
      <w:suff w:val="nothing"/>
      <w:lvlText w:val="%1"/>
      <w:lvlJc w:val="left"/>
      <w:rPr>
        <w:rFonts w:hint="default" w:ascii="Times New Roman" w:hAnsi="Times New Roman" w:cs="Times New Roman"/>
        <w:b/>
        <w:bCs/>
        <w:i w:val="0"/>
        <w:iCs w:val="0"/>
        <w:sz w:val="21"/>
        <w:szCs w:val="21"/>
      </w:rPr>
    </w:lvl>
    <w:lvl w:ilvl="1" w:tentative="0">
      <w:start w:val="1"/>
      <w:numFmt w:val="decimal"/>
      <w:pStyle w:val="25"/>
      <w:suff w:val="nothing"/>
      <w:lvlText w:val="%1%2　"/>
      <w:lvlJc w:val="left"/>
      <w:rPr>
        <w:rFonts w:hint="eastAsia" w:ascii="黑体" w:hAnsi="Times New Roman" w:eastAsia="黑体"/>
        <w:b w:val="0"/>
        <w:bCs w:val="0"/>
        <w:i w:val="0"/>
        <w:iCs w:val="0"/>
        <w:sz w:val="21"/>
        <w:szCs w:val="21"/>
      </w:rPr>
    </w:lvl>
    <w:lvl w:ilvl="2" w:tentative="0">
      <w:start w:val="1"/>
      <w:numFmt w:val="decimal"/>
      <w:pStyle w:val="30"/>
      <w:suff w:val="nothing"/>
      <w:lvlText w:val="%1%2.%3　"/>
      <w:lvlJc w:val="left"/>
      <w:rPr>
        <w:rFonts w:hint="eastAsia" w:ascii="黑体" w:hAnsi="Times New Roman" w:eastAsia="黑体"/>
        <w:b w:val="0"/>
        <w:bCs w:val="0"/>
        <w:i w:val="0"/>
        <w:iCs w:val="0"/>
        <w:sz w:val="21"/>
        <w:szCs w:val="21"/>
      </w:rPr>
    </w:lvl>
    <w:lvl w:ilvl="3" w:tentative="0">
      <w:start w:val="1"/>
      <w:numFmt w:val="decimal"/>
      <w:pStyle w:val="26"/>
      <w:suff w:val="nothing"/>
      <w:lvlText w:val="%1%2.%3.%4　"/>
      <w:lvlJc w:val="left"/>
      <w:rPr>
        <w:rFonts w:hint="eastAsia" w:ascii="黑体" w:hAnsi="Times New Roman" w:eastAsia="黑体"/>
        <w:b w:val="0"/>
        <w:bCs w:val="0"/>
        <w:i w:val="0"/>
        <w:iCs w:val="0"/>
        <w:sz w:val="21"/>
        <w:szCs w:val="21"/>
      </w:rPr>
    </w:lvl>
    <w:lvl w:ilvl="4" w:tentative="0">
      <w:start w:val="1"/>
      <w:numFmt w:val="decimal"/>
      <w:pStyle w:val="27"/>
      <w:suff w:val="nothing"/>
      <w:lvlText w:val="%1%2.%3.%4.%5　"/>
      <w:lvlJc w:val="left"/>
      <w:rPr>
        <w:rFonts w:hint="eastAsia" w:ascii="黑体" w:hAnsi="Times New Roman" w:eastAsia="黑体"/>
        <w:b w:val="0"/>
        <w:bCs w:val="0"/>
        <w:i w:val="0"/>
        <w:iCs w:val="0"/>
        <w:sz w:val="21"/>
        <w:szCs w:val="21"/>
      </w:rPr>
    </w:lvl>
    <w:lvl w:ilvl="5" w:tentative="0">
      <w:start w:val="1"/>
      <w:numFmt w:val="decimal"/>
      <w:pStyle w:val="28"/>
      <w:suff w:val="nothing"/>
      <w:lvlText w:val="%1%2.%3.%4.%5.%6　"/>
      <w:lvlJc w:val="left"/>
      <w:rPr>
        <w:rFonts w:hint="eastAsia" w:ascii="黑体" w:hAnsi="Times New Roman" w:eastAsia="黑体"/>
        <w:b w:val="0"/>
        <w:bCs w:val="0"/>
        <w:i w:val="0"/>
        <w:iCs w:val="0"/>
        <w:sz w:val="21"/>
        <w:szCs w:val="21"/>
      </w:rPr>
    </w:lvl>
    <w:lvl w:ilvl="6" w:tentative="0">
      <w:start w:val="1"/>
      <w:numFmt w:val="decimal"/>
      <w:pStyle w:val="29"/>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djNjM4NjE4NDQ3MzRkMGIyMWJjYzY1YzA1MzEzOWQifQ=="/>
  </w:docVars>
  <w:rsids>
    <w:rsidRoot w:val="00980DE8"/>
    <w:rsid w:val="00096CEA"/>
    <w:rsid w:val="000E41A4"/>
    <w:rsid w:val="000F3F68"/>
    <w:rsid w:val="00131AF5"/>
    <w:rsid w:val="001E01D2"/>
    <w:rsid w:val="001E0F25"/>
    <w:rsid w:val="00275370"/>
    <w:rsid w:val="002E529D"/>
    <w:rsid w:val="00306598"/>
    <w:rsid w:val="00314089"/>
    <w:rsid w:val="00317CA2"/>
    <w:rsid w:val="003618C2"/>
    <w:rsid w:val="00363CFE"/>
    <w:rsid w:val="003B3867"/>
    <w:rsid w:val="00417C7E"/>
    <w:rsid w:val="004A2DAF"/>
    <w:rsid w:val="004A630D"/>
    <w:rsid w:val="004E4598"/>
    <w:rsid w:val="0056750E"/>
    <w:rsid w:val="00582631"/>
    <w:rsid w:val="00586D2B"/>
    <w:rsid w:val="005922F7"/>
    <w:rsid w:val="005C3B7B"/>
    <w:rsid w:val="00610310"/>
    <w:rsid w:val="006215EE"/>
    <w:rsid w:val="00661108"/>
    <w:rsid w:val="0070085F"/>
    <w:rsid w:val="007A0069"/>
    <w:rsid w:val="008319E1"/>
    <w:rsid w:val="008739CA"/>
    <w:rsid w:val="00913F25"/>
    <w:rsid w:val="0095627D"/>
    <w:rsid w:val="00980DE8"/>
    <w:rsid w:val="00A24AEA"/>
    <w:rsid w:val="00A6002B"/>
    <w:rsid w:val="00A616FE"/>
    <w:rsid w:val="00A93A9E"/>
    <w:rsid w:val="00AF6299"/>
    <w:rsid w:val="00B1226B"/>
    <w:rsid w:val="00B761C8"/>
    <w:rsid w:val="00B7691D"/>
    <w:rsid w:val="00BB0DD5"/>
    <w:rsid w:val="00CE7D88"/>
    <w:rsid w:val="00D86041"/>
    <w:rsid w:val="00D90ABC"/>
    <w:rsid w:val="00DC3647"/>
    <w:rsid w:val="00DD0BBE"/>
    <w:rsid w:val="00DD62B8"/>
    <w:rsid w:val="00E147E8"/>
    <w:rsid w:val="00E14BD6"/>
    <w:rsid w:val="00E44777"/>
    <w:rsid w:val="00F215C9"/>
    <w:rsid w:val="00F614CD"/>
    <w:rsid w:val="00F74128"/>
    <w:rsid w:val="00F80398"/>
    <w:rsid w:val="00F9141C"/>
    <w:rsid w:val="00F965D6"/>
    <w:rsid w:val="00FB3AA3"/>
    <w:rsid w:val="00FC00BB"/>
    <w:rsid w:val="00FC12B7"/>
    <w:rsid w:val="00FD7E33"/>
    <w:rsid w:val="0322279A"/>
    <w:rsid w:val="035739D3"/>
    <w:rsid w:val="03817919"/>
    <w:rsid w:val="0551681E"/>
    <w:rsid w:val="06BC532B"/>
    <w:rsid w:val="0CD604FB"/>
    <w:rsid w:val="0D051A70"/>
    <w:rsid w:val="10B5717D"/>
    <w:rsid w:val="1134754D"/>
    <w:rsid w:val="12CD6FEE"/>
    <w:rsid w:val="14990670"/>
    <w:rsid w:val="1564194F"/>
    <w:rsid w:val="1726454E"/>
    <w:rsid w:val="17326629"/>
    <w:rsid w:val="17365EA8"/>
    <w:rsid w:val="17D9107A"/>
    <w:rsid w:val="186336D8"/>
    <w:rsid w:val="1C843955"/>
    <w:rsid w:val="1C9A7366"/>
    <w:rsid w:val="1E3C3081"/>
    <w:rsid w:val="1EB94A9A"/>
    <w:rsid w:val="20522232"/>
    <w:rsid w:val="21FF6A62"/>
    <w:rsid w:val="22DC6175"/>
    <w:rsid w:val="24254BA9"/>
    <w:rsid w:val="255516DE"/>
    <w:rsid w:val="29522794"/>
    <w:rsid w:val="2A63473C"/>
    <w:rsid w:val="2B3F45FF"/>
    <w:rsid w:val="2B760E79"/>
    <w:rsid w:val="2FF058D9"/>
    <w:rsid w:val="316B79E6"/>
    <w:rsid w:val="34D63D90"/>
    <w:rsid w:val="34DB2A67"/>
    <w:rsid w:val="35820E6C"/>
    <w:rsid w:val="35F72828"/>
    <w:rsid w:val="3701586F"/>
    <w:rsid w:val="395743A3"/>
    <w:rsid w:val="39940039"/>
    <w:rsid w:val="3A653607"/>
    <w:rsid w:val="3B972E61"/>
    <w:rsid w:val="3C9B1A25"/>
    <w:rsid w:val="3DA22677"/>
    <w:rsid w:val="3DE91BEB"/>
    <w:rsid w:val="3E13087D"/>
    <w:rsid w:val="3EEA56BA"/>
    <w:rsid w:val="3F227E5E"/>
    <w:rsid w:val="467328A4"/>
    <w:rsid w:val="47FC6ED2"/>
    <w:rsid w:val="49161FED"/>
    <w:rsid w:val="4D4D7562"/>
    <w:rsid w:val="4E3B1335"/>
    <w:rsid w:val="4E5726DB"/>
    <w:rsid w:val="4F8B21D5"/>
    <w:rsid w:val="4FBE7903"/>
    <w:rsid w:val="50A2107E"/>
    <w:rsid w:val="51012E61"/>
    <w:rsid w:val="511D6036"/>
    <w:rsid w:val="554B49EA"/>
    <w:rsid w:val="574551BC"/>
    <w:rsid w:val="57D840BE"/>
    <w:rsid w:val="5ABC0073"/>
    <w:rsid w:val="5CB07542"/>
    <w:rsid w:val="5CD31D13"/>
    <w:rsid w:val="5ECD6079"/>
    <w:rsid w:val="62BB6678"/>
    <w:rsid w:val="65C366ED"/>
    <w:rsid w:val="665E1F55"/>
    <w:rsid w:val="69841F9B"/>
    <w:rsid w:val="6D063DEF"/>
    <w:rsid w:val="6D942616"/>
    <w:rsid w:val="6DED665E"/>
    <w:rsid w:val="6EFC30C9"/>
    <w:rsid w:val="6F1B41FB"/>
    <w:rsid w:val="709E18E0"/>
    <w:rsid w:val="70CF0B30"/>
    <w:rsid w:val="712F4E89"/>
    <w:rsid w:val="7148382D"/>
    <w:rsid w:val="744163C8"/>
    <w:rsid w:val="76F033C8"/>
    <w:rsid w:val="7C317DEB"/>
    <w:rsid w:val="7C5F1B5A"/>
    <w:rsid w:val="7FE64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link w:val="13"/>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rFonts w:cs="宋体"/>
      <w:lang w:val="zh-CN" w:bidi="zh-CN"/>
    </w:rPr>
  </w:style>
  <w:style w:type="paragraph" w:styleId="4">
    <w:name w:val="Balloon Text"/>
    <w:basedOn w:val="1"/>
    <w:link w:val="20"/>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able of figures"/>
    <w:basedOn w:val="1"/>
    <w:next w:val="1"/>
    <w:semiHidden/>
    <w:unhideWhenUsed/>
    <w:qFormat/>
    <w:uiPriority w:val="99"/>
    <w:pPr>
      <w:adjustRightInd w:val="0"/>
      <w:spacing w:line="400" w:lineRule="exact"/>
      <w:ind w:left="200" w:leftChars="200" w:hanging="200" w:hangingChars="200"/>
    </w:pPr>
    <w:rPr>
      <w:rFonts w:ascii="Calibri" w:hAnsi="Calibri" w:eastAsia="宋体" w:cs="Calibri"/>
      <w:szCs w:val="21"/>
    </w:rPr>
  </w:style>
  <w:style w:type="paragraph" w:styleId="8">
    <w:name w:val="HTML Preformatted"/>
    <w:basedOn w:val="1"/>
    <w:link w:val="3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character" w:customStyle="1" w:styleId="13">
    <w:name w:val="标题 3 字符"/>
    <w:basedOn w:val="11"/>
    <w:link w:val="3"/>
    <w:qFormat/>
    <w:uiPriority w:val="9"/>
    <w:rPr>
      <w:rFonts w:ascii="Calibri" w:hAnsi="Calibri" w:eastAsia="宋体" w:cs="Times New Roman"/>
      <w:b/>
      <w:bCs/>
      <w:sz w:val="32"/>
      <w:szCs w:val="32"/>
    </w:rPr>
  </w:style>
  <w:style w:type="character" w:customStyle="1" w:styleId="14">
    <w:name w:val="页眉 字符"/>
    <w:basedOn w:val="11"/>
    <w:link w:val="6"/>
    <w:qFormat/>
    <w:uiPriority w:val="99"/>
    <w:rPr>
      <w:rFonts w:ascii="Calibri" w:hAnsi="Calibri" w:eastAsia="宋体" w:cs="Times New Roman"/>
      <w:sz w:val="18"/>
      <w:szCs w:val="18"/>
    </w:rPr>
  </w:style>
  <w:style w:type="character" w:customStyle="1" w:styleId="15">
    <w:name w:val="页脚 字符"/>
    <w:basedOn w:val="11"/>
    <w:link w:val="5"/>
    <w:qFormat/>
    <w:uiPriority w:val="99"/>
    <w:rPr>
      <w:rFonts w:ascii="Calibri" w:hAnsi="Calibri" w:eastAsia="宋体" w:cs="Times New Roman"/>
      <w:sz w:val="18"/>
      <w:szCs w:val="18"/>
    </w:rPr>
  </w:style>
  <w:style w:type="paragraph" w:customStyle="1" w:styleId="16">
    <w:name w:val="段"/>
    <w:link w:val="1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7">
    <w:name w:val="段 Char"/>
    <w:link w:val="16"/>
    <w:qFormat/>
    <w:uiPriority w:val="0"/>
    <w:rPr>
      <w:rFonts w:ascii="宋体" w:hAnsi="Times New Roman" w:eastAsia="宋体" w:cs="Times New Roman"/>
      <w:kern w:val="0"/>
      <w:szCs w:val="20"/>
    </w:rPr>
  </w:style>
  <w:style w:type="paragraph" w:customStyle="1" w:styleId="18">
    <w:name w:val="文章正文"/>
    <w:basedOn w:val="1"/>
    <w:link w:val="19"/>
    <w:qFormat/>
    <w:uiPriority w:val="0"/>
    <w:pPr>
      <w:ind w:firstLine="560" w:firstLineChars="200"/>
    </w:pPr>
    <w:rPr>
      <w:rFonts w:ascii="宋体" w:hAnsi="宋体"/>
      <w:color w:val="000000"/>
      <w:kern w:val="28"/>
      <w:sz w:val="28"/>
      <w:szCs w:val="28"/>
      <w:lang w:val="zh-CN"/>
    </w:rPr>
  </w:style>
  <w:style w:type="character" w:customStyle="1" w:styleId="19">
    <w:name w:val="文章正文 Char"/>
    <w:link w:val="18"/>
    <w:qFormat/>
    <w:uiPriority w:val="0"/>
    <w:rPr>
      <w:rFonts w:ascii="宋体" w:hAnsi="宋体" w:eastAsia="宋体" w:cs="Times New Roman"/>
      <w:color w:val="000000"/>
      <w:kern w:val="28"/>
      <w:sz w:val="28"/>
      <w:szCs w:val="28"/>
      <w:lang w:val="zh-CN" w:eastAsia="zh-CN"/>
    </w:rPr>
  </w:style>
  <w:style w:type="character" w:customStyle="1" w:styleId="20">
    <w:name w:val="批注框文本 字符"/>
    <w:basedOn w:val="11"/>
    <w:link w:val="4"/>
    <w:semiHidden/>
    <w:qFormat/>
    <w:uiPriority w:val="99"/>
    <w:rPr>
      <w:rFonts w:ascii="Calibri" w:hAnsi="Calibri" w:eastAsia="宋体" w:cs="Times New Roman"/>
      <w:sz w:val="18"/>
      <w:szCs w:val="18"/>
    </w:rPr>
  </w:style>
  <w:style w:type="paragraph" w:styleId="21">
    <w:name w:val="List Paragraph"/>
    <w:basedOn w:val="1"/>
    <w:qFormat/>
    <w:uiPriority w:val="34"/>
    <w:pPr>
      <w:ind w:firstLine="420" w:firstLineChars="200"/>
    </w:pPr>
  </w:style>
  <w:style w:type="character" w:customStyle="1" w:styleId="22">
    <w:name w:val="段 字符"/>
    <w:basedOn w:val="11"/>
    <w:qFormat/>
    <w:uiPriority w:val="0"/>
    <w:rPr>
      <w:rFonts w:ascii="Times New Roman" w:hAnsi="Times New Roman" w:eastAsia="宋体" w:cs="Calibri"/>
      <w:szCs w:val="21"/>
    </w:rPr>
  </w:style>
  <w:style w:type="paragraph" w:customStyle="1" w:styleId="23">
    <w:name w:val="术语"/>
    <w:basedOn w:val="16"/>
    <w:next w:val="16"/>
    <w:link w:val="24"/>
    <w:qFormat/>
    <w:uiPriority w:val="0"/>
    <w:pPr>
      <w:widowControl w:val="0"/>
      <w:autoSpaceDE/>
      <w:autoSpaceDN/>
      <w:adjustRightInd w:val="0"/>
      <w:ind w:firstLine="420"/>
    </w:pPr>
    <w:rPr>
      <w:rFonts w:ascii="Times New Roman" w:eastAsia="黑体" w:cs="Calibri"/>
      <w:kern w:val="2"/>
      <w:szCs w:val="21"/>
    </w:rPr>
  </w:style>
  <w:style w:type="character" w:customStyle="1" w:styleId="24">
    <w:name w:val="术语 字符"/>
    <w:basedOn w:val="22"/>
    <w:link w:val="23"/>
    <w:qFormat/>
    <w:uiPriority w:val="0"/>
    <w:rPr>
      <w:rFonts w:ascii="Times New Roman" w:hAnsi="Times New Roman" w:eastAsia="黑体" w:cs="Calibri"/>
      <w:szCs w:val="21"/>
    </w:rPr>
  </w:style>
  <w:style w:type="paragraph" w:customStyle="1" w:styleId="25">
    <w:name w:val="1章标题"/>
    <w:next w:val="1"/>
    <w:qFormat/>
    <w:uiPriority w:val="99"/>
    <w:pPr>
      <w:numPr>
        <w:ilvl w:val="1"/>
        <w:numId w:val="1"/>
      </w:numPr>
      <w:spacing w:beforeLines="50" w:afterLines="50"/>
      <w:jc w:val="both"/>
      <w:outlineLvl w:val="0"/>
    </w:pPr>
    <w:rPr>
      <w:rFonts w:ascii="黑体" w:hAnsi="Times New Roman" w:eastAsia="黑体" w:cs="黑体"/>
      <w:sz w:val="21"/>
      <w:szCs w:val="21"/>
      <w:lang w:val="en-US" w:eastAsia="zh-CN" w:bidi="ar-SA"/>
    </w:rPr>
  </w:style>
  <w:style w:type="paragraph" w:customStyle="1" w:styleId="26">
    <w:name w:val="标准文件_二级条标题"/>
    <w:next w:val="1"/>
    <w:qFormat/>
    <w:uiPriority w:val="99"/>
    <w:pPr>
      <w:widowControl w:val="0"/>
      <w:numPr>
        <w:ilvl w:val="3"/>
        <w:numId w:val="1"/>
      </w:numPr>
      <w:jc w:val="both"/>
      <w:outlineLvl w:val="2"/>
    </w:pPr>
    <w:rPr>
      <w:rFonts w:ascii="黑体" w:hAnsi="Times New Roman" w:eastAsia="黑体" w:cs="黑体"/>
      <w:sz w:val="21"/>
      <w:szCs w:val="21"/>
      <w:lang w:val="en-US" w:eastAsia="zh-CN" w:bidi="ar-SA"/>
    </w:rPr>
  </w:style>
  <w:style w:type="paragraph" w:customStyle="1" w:styleId="27">
    <w:name w:val="标准文件_三级条标题"/>
    <w:basedOn w:val="26"/>
    <w:next w:val="1"/>
    <w:qFormat/>
    <w:uiPriority w:val="99"/>
    <w:pPr>
      <w:widowControl/>
      <w:numPr>
        <w:ilvl w:val="4"/>
      </w:numPr>
      <w:outlineLvl w:val="3"/>
    </w:pPr>
  </w:style>
  <w:style w:type="paragraph" w:customStyle="1" w:styleId="28">
    <w:name w:val="标准文件_四级条标题"/>
    <w:next w:val="1"/>
    <w:qFormat/>
    <w:uiPriority w:val="99"/>
    <w:pPr>
      <w:widowControl w:val="0"/>
      <w:numPr>
        <w:ilvl w:val="5"/>
        <w:numId w:val="1"/>
      </w:numPr>
      <w:jc w:val="both"/>
      <w:outlineLvl w:val="4"/>
    </w:pPr>
    <w:rPr>
      <w:rFonts w:ascii="黑体" w:hAnsi="Times New Roman" w:eastAsia="黑体" w:cs="黑体"/>
      <w:sz w:val="21"/>
      <w:szCs w:val="21"/>
      <w:lang w:val="en-US" w:eastAsia="zh-CN" w:bidi="ar-SA"/>
    </w:rPr>
  </w:style>
  <w:style w:type="paragraph" w:customStyle="1" w:styleId="29">
    <w:name w:val="标准文件_五级条标题"/>
    <w:next w:val="1"/>
    <w:qFormat/>
    <w:uiPriority w:val="99"/>
    <w:pPr>
      <w:widowControl w:val="0"/>
      <w:numPr>
        <w:ilvl w:val="6"/>
        <w:numId w:val="1"/>
      </w:numPr>
      <w:jc w:val="both"/>
      <w:outlineLvl w:val="5"/>
    </w:pPr>
    <w:rPr>
      <w:rFonts w:ascii="黑体" w:hAnsi="Times New Roman" w:eastAsia="黑体" w:cs="黑体"/>
      <w:sz w:val="21"/>
      <w:szCs w:val="21"/>
      <w:lang w:val="en-US" w:eastAsia="zh-CN" w:bidi="ar-SA"/>
    </w:rPr>
  </w:style>
  <w:style w:type="paragraph" w:customStyle="1" w:styleId="30">
    <w:name w:val="标准文件_一级条标题"/>
    <w:basedOn w:val="25"/>
    <w:next w:val="1"/>
    <w:qFormat/>
    <w:uiPriority w:val="99"/>
    <w:pPr>
      <w:numPr>
        <w:ilvl w:val="2"/>
      </w:numPr>
      <w:spacing w:beforeLines="0" w:afterLines="0"/>
      <w:outlineLvl w:val="1"/>
    </w:pPr>
  </w:style>
  <w:style w:type="paragraph" w:customStyle="1" w:styleId="31">
    <w:name w:val="前言标题"/>
    <w:next w:val="1"/>
    <w:qFormat/>
    <w:uiPriority w:val="99"/>
    <w:pPr>
      <w:numPr>
        <w:ilvl w:val="0"/>
        <w:numId w:val="1"/>
      </w:numPr>
      <w:shd w:val="clear" w:color="FFFFFF" w:fill="FFFFFF"/>
      <w:spacing w:before="540"/>
      <w:jc w:val="center"/>
      <w:outlineLvl w:val="0"/>
    </w:pPr>
    <w:rPr>
      <w:rFonts w:ascii="黑体" w:hAnsi="Times New Roman" w:eastAsia="黑体" w:cs="黑体"/>
      <w:sz w:val="32"/>
      <w:szCs w:val="32"/>
      <w:lang w:val="en-US" w:eastAsia="zh-CN" w:bidi="ar-SA"/>
    </w:rPr>
  </w:style>
  <w:style w:type="paragraph" w:customStyle="1" w:styleId="32">
    <w:name w:val="二级条标题"/>
    <w:basedOn w:val="26"/>
    <w:next w:val="16"/>
    <w:link w:val="33"/>
    <w:qFormat/>
    <w:uiPriority w:val="0"/>
    <w:pPr>
      <w:spacing w:before="50" w:beforeLines="50" w:after="50" w:afterLines="50"/>
    </w:pPr>
    <w:rPr>
      <w:rFonts w:ascii="Times New Roman"/>
    </w:rPr>
  </w:style>
  <w:style w:type="character" w:customStyle="1" w:styleId="33">
    <w:name w:val="二级条标题 字符"/>
    <w:basedOn w:val="11"/>
    <w:link w:val="32"/>
    <w:qFormat/>
    <w:uiPriority w:val="0"/>
    <w:rPr>
      <w:rFonts w:ascii="Times New Roman" w:hAnsi="Times New Roman" w:eastAsia="黑体" w:cs="黑体"/>
      <w:kern w:val="0"/>
      <w:szCs w:val="21"/>
    </w:rPr>
  </w:style>
  <w:style w:type="character" w:customStyle="1" w:styleId="34">
    <w:name w:val="font11"/>
    <w:basedOn w:val="11"/>
    <w:qFormat/>
    <w:uiPriority w:val="0"/>
    <w:rPr>
      <w:rFonts w:hint="eastAsia" w:ascii="宋体" w:hAnsi="宋体" w:eastAsia="宋体" w:cs="宋体"/>
      <w:color w:val="000000"/>
      <w:sz w:val="22"/>
      <w:szCs w:val="22"/>
      <w:u w:val="none"/>
    </w:rPr>
  </w:style>
  <w:style w:type="character" w:customStyle="1" w:styleId="35">
    <w:name w:val="HTML 预设格式 字符"/>
    <w:basedOn w:val="11"/>
    <w:link w:val="8"/>
    <w:semiHidden/>
    <w:qFormat/>
    <w:uiPriority w:val="99"/>
    <w:rPr>
      <w:rFonts w:ascii="宋体" w:hAnsi="宋体" w:cs="宋体"/>
      <w:sz w:val="24"/>
      <w:szCs w:val="24"/>
    </w:rPr>
  </w:style>
  <w:style w:type="paragraph" w:customStyle="1" w:styleId="36">
    <w:name w:val="一级条标题"/>
    <w:basedOn w:val="30"/>
    <w:next w:val="16"/>
    <w:qFormat/>
    <w:uiPriority w:val="0"/>
    <w:pPr>
      <w:spacing w:before="156" w:beforeLines="50" w:after="156" w:afterLines="50"/>
    </w:pPr>
  </w:style>
  <w:style w:type="paragraph" w:customStyle="1" w:styleId="37">
    <w:name w:val="标准文件_段"/>
    <w:qFormat/>
    <w:uiPriority w:val="99"/>
    <w:pPr>
      <w:widowControl w:val="0"/>
      <w:ind w:firstLine="198" w:firstLineChars="200"/>
      <w:jc w:val="both"/>
    </w:pPr>
    <w:rPr>
      <w:rFonts w:ascii="宋体" w:hAnsi="宋体" w:eastAsia="宋体" w:cs="宋体"/>
      <w:kern w:val="2"/>
      <w:sz w:val="21"/>
      <w:szCs w:val="21"/>
      <w:lang w:val="en-US" w:eastAsia="zh-CN" w:bidi="ar-SA"/>
    </w:rPr>
  </w:style>
  <w:style w:type="paragraph" w:customStyle="1" w:styleId="38">
    <w:name w:val="正文表标题"/>
    <w:basedOn w:val="39"/>
    <w:next w:val="16"/>
    <w:qFormat/>
    <w:uiPriority w:val="0"/>
    <w:pPr>
      <w:numPr>
        <w:numId w:val="2"/>
      </w:numPr>
    </w:pPr>
  </w:style>
  <w:style w:type="paragraph" w:customStyle="1" w:styleId="39">
    <w:name w:val="正文图题"/>
    <w:basedOn w:val="7"/>
    <w:next w:val="16"/>
    <w:qFormat/>
    <w:uiPriority w:val="0"/>
    <w:pPr>
      <w:numPr>
        <w:ilvl w:val="0"/>
        <w:numId w:val="3"/>
      </w:numPr>
      <w:spacing w:before="50" w:beforeLines="50" w:after="50" w:afterLines="50" w:line="240" w:lineRule="auto"/>
      <w:ind w:left="0" w:leftChars="0" w:firstLine="0" w:firstLineChars="0"/>
      <w:jc w:val="center"/>
    </w:pPr>
    <w:rPr>
      <w:rFonts w:eastAsia="黑体"/>
    </w:rPr>
  </w:style>
  <w:style w:type="paragraph" w:customStyle="1" w:styleId="40">
    <w:name w:val="三级条标题"/>
    <w:basedOn w:val="27"/>
    <w:next w:val="16"/>
    <w:qFormat/>
    <w:uiPriority w:val="0"/>
    <w:pPr>
      <w:spacing w:before="156" w:beforeLines="50" w:after="156" w:afterLines="5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411FA1-C665-4CEF-A46E-03F3344C7C2C}">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2561</Words>
  <Characters>2784</Characters>
  <Lines>18</Lines>
  <Paragraphs>5</Paragraphs>
  <TotalTime>8</TotalTime>
  <ScaleCrop>false</ScaleCrop>
  <LinksUpToDate>false</LinksUpToDate>
  <CharactersWithSpaces>2923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2017-06-05T06:59:00Z</dcterms:created>
  <dc:creator>zhengyanfeng</dc:creator>
  <cp:lastModifiedBy>Administrator</cp:lastModifiedBy>
  <dcterms:modified xsi:type="dcterms:W3CDTF">2022-09-20T06:31:46Z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856F06179FC943519AC3DDFD412052ED</vt:lpwstr>
  </property>
</Properties>
</file>