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2134" w:hSpace="180" w:vSpace="180" w:wrap="around" w:vAnchor="page" w:hAnchor="margin" w:y="531" w:anchorLock="1"/>
        <w:widowControl/>
        <w:jc w:val="left"/>
        <w:rPr>
          <w:rFonts w:hint="eastAsia" w:ascii="黑体" w:hAnsi="黑体" w:eastAsia="黑体" w:cs="黑体"/>
          <w:color w:val="auto"/>
          <w:kern w:val="0"/>
          <w:szCs w:val="21"/>
        </w:rPr>
      </w:pPr>
      <w:bookmarkStart w:id="0" w:name="_Toc24964"/>
      <w:bookmarkStart w:id="1" w:name="_Toc14794"/>
      <w:bookmarkStart w:id="2" w:name="_Toc942016"/>
      <w:bookmarkStart w:id="3" w:name="_Toc1651879"/>
      <w:bookmarkStart w:id="4" w:name="_Toc31202"/>
      <w:bookmarkStart w:id="5" w:name="_Toc15743"/>
      <w:bookmarkStart w:id="6" w:name="_Toc942345"/>
      <w:bookmarkStart w:id="93" w:name="_GoBack"/>
      <w:bookmarkEnd w:id="93"/>
      <w:r>
        <w:rPr>
          <w:rFonts w:hint="eastAsia" w:ascii="黑体" w:hAnsi="黑体" w:eastAsia="黑体" w:cs="黑体"/>
          <w:b/>
          <w:color w:val="auto"/>
          <w:kern w:val="0"/>
          <w:szCs w:val="21"/>
        </w:rPr>
        <w:t>ICS</w:t>
      </w:r>
      <w:r>
        <w:rPr>
          <w:rFonts w:hint="eastAsia" w:ascii="黑体" w:hAnsi="黑体" w:eastAsia="黑体" w:cs="黑体"/>
          <w:color w:val="auto"/>
          <w:kern w:val="0"/>
          <w:szCs w:val="21"/>
        </w:rPr>
        <w:t> </w:t>
      </w:r>
      <w:r>
        <w:rPr>
          <w:rFonts w:hint="eastAsia" w:ascii="黑体" w:hAnsi="黑体" w:eastAsia="黑体" w:cs="黑体"/>
          <w:color w:val="auto"/>
          <w:kern w:val="0"/>
          <w:szCs w:val="21"/>
          <w:lang w:bidi="ar"/>
        </w:rPr>
        <w:t>65.020.20</w:t>
      </w:r>
    </w:p>
    <w:p>
      <w:pPr>
        <w:framePr w:w="2134" w:hSpace="180" w:vSpace="180" w:wrap="around" w:vAnchor="page" w:hAnchor="margin" w:y="531" w:anchorLock="1"/>
        <w:widowControl/>
        <w:jc w:val="left"/>
        <w:rPr>
          <w:rFonts w:ascii="黑体" w:hAnsi="Times New Roman" w:eastAsia="黑体" w:cs="Times New Roman"/>
          <w:color w:val="auto"/>
          <w:kern w:val="0"/>
          <w:szCs w:val="21"/>
        </w:rPr>
      </w:pPr>
      <w:r>
        <w:rPr>
          <w:rFonts w:hint="eastAsia" w:ascii="黑体" w:hAnsi="黑体" w:eastAsia="黑体" w:cs="黑体"/>
          <w:b/>
          <w:color w:val="auto"/>
          <w:kern w:val="0"/>
          <w:szCs w:val="21"/>
        </w:rPr>
        <w:t>CCS</w:t>
      </w:r>
      <w:r>
        <w:rPr>
          <w:rFonts w:hint="eastAsia" w:ascii="黑体" w:hAnsi="黑体" w:eastAsia="黑体" w:cs="黑体"/>
          <w:color w:val="auto"/>
          <w:kern w:val="0"/>
          <w:szCs w:val="21"/>
        </w:rPr>
        <w:t xml:space="preserve"> </w:t>
      </w:r>
      <w:r>
        <w:rPr>
          <w:rFonts w:hint="eastAsia" w:ascii="黑体" w:hAnsi="黑体" w:eastAsia="黑体" w:cs="黑体"/>
          <w:color w:val="auto"/>
          <w:kern w:val="0"/>
          <w:szCs w:val="21"/>
          <w:lang w:bidi="ar"/>
        </w:rPr>
        <w:t xml:space="preserve">B 38 </w:t>
      </w:r>
    </w:p>
    <w:p>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color w:val="auto"/>
          <w:w w:val="170"/>
          <w:kern w:val="0"/>
          <w:sz w:val="96"/>
          <w:szCs w:val="96"/>
        </w:rPr>
      </w:pPr>
    </w:p>
    <w:p>
      <w:pPr>
        <w:framePr w:w="9639" w:h="703" w:hRule="exact" w:hSpace="181" w:vSpace="181" w:wrap="around" w:vAnchor="page" w:hAnchor="page" w:x="1493" w:y="1853" w:anchorLock="1"/>
        <w:kinsoku w:val="0"/>
        <w:overflowPunct w:val="0"/>
        <w:autoSpaceDE w:val="0"/>
        <w:autoSpaceDN w:val="0"/>
        <w:spacing w:line="0" w:lineRule="atLeast"/>
        <w:jc w:val="distribute"/>
        <w:rPr>
          <w:rFonts w:ascii="宋体" w:hAnsi="Times New Roman" w:eastAsia="宋体" w:cs="Times New Roman"/>
          <w:b/>
          <w:bCs/>
          <w:color w:val="auto"/>
          <w:spacing w:val="20"/>
          <w:w w:val="148"/>
          <w:kern w:val="0"/>
          <w:sz w:val="48"/>
          <w:szCs w:val="20"/>
        </w:rPr>
      </w:pPr>
      <w:r>
        <w:rPr>
          <w:rFonts w:hint="eastAsia" w:ascii="宋体" w:hAnsi="Times New Roman" w:eastAsia="宋体" w:cs="Times New Roman"/>
          <w:b/>
          <w:bCs/>
          <w:color w:val="auto"/>
          <w:spacing w:val="20"/>
          <w:w w:val="148"/>
          <w:kern w:val="0"/>
          <w:sz w:val="48"/>
          <w:szCs w:val="20"/>
        </w:rPr>
        <w:t>团体标准</w:t>
      </w: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color w:val="auto"/>
          <w:kern w:val="0"/>
          <w:sz w:val="28"/>
          <w:szCs w:val="28"/>
        </w:rPr>
      </w:pPr>
      <w:r>
        <w:rPr>
          <w:rFonts w:hint="eastAsia" w:ascii="黑体" w:hAnsi="黑体" w:eastAsia="黑体" w:cs="黑体"/>
          <w:color w:val="auto"/>
          <w:kern w:val="0"/>
          <w:sz w:val="28"/>
          <w:szCs w:val="28"/>
        </w:rPr>
        <w:t xml:space="preserve">T/FDSA  </w:t>
      </w:r>
      <w:bookmarkStart w:id="7" w:name="StdNo1"/>
      <w:r>
        <w:rPr>
          <w:rFonts w:hint="eastAsia" w:ascii="黑体" w:hAnsi="黑体" w:eastAsia="黑体" w:cs="黑体"/>
          <w:color w:val="auto"/>
          <w:kern w:val="0"/>
          <w:sz w:val="28"/>
          <w:szCs w:val="28"/>
        </w:rPr>
        <w:fldChar w:fldCharType="begin">
          <w:ffData>
            <w:name w:val="StdNo1"/>
            <w:enabled/>
            <w:calcOnExit w:val="0"/>
            <w:textInput>
              <w:default w:val="XXXXX"/>
            </w:textInput>
          </w:ffData>
        </w:fldChar>
      </w:r>
      <w:r>
        <w:rPr>
          <w:rFonts w:hint="eastAsia" w:ascii="黑体" w:hAnsi="黑体" w:eastAsia="黑体" w:cs="黑体"/>
          <w:color w:val="auto"/>
          <w:kern w:val="0"/>
          <w:sz w:val="28"/>
          <w:szCs w:val="28"/>
        </w:rPr>
        <w:instrText xml:space="preserve"> FORMTEXT </w:instrText>
      </w:r>
      <w:r>
        <w:rPr>
          <w:rFonts w:hint="eastAsia" w:ascii="黑体" w:hAnsi="黑体" w:eastAsia="黑体" w:cs="黑体"/>
          <w:color w:val="auto"/>
          <w:kern w:val="0"/>
          <w:sz w:val="28"/>
          <w:szCs w:val="28"/>
        </w:rPr>
        <w:fldChar w:fldCharType="separate"/>
      </w:r>
      <w:r>
        <w:rPr>
          <w:rFonts w:hint="eastAsia" w:ascii="黑体" w:hAnsi="黑体" w:eastAsia="黑体" w:cs="黑体"/>
          <w:color w:val="auto"/>
          <w:kern w:val="0"/>
          <w:sz w:val="28"/>
          <w:szCs w:val="28"/>
        </w:rPr>
        <w:t>XXXXX</w:t>
      </w:r>
      <w:r>
        <w:rPr>
          <w:rFonts w:hint="eastAsia" w:ascii="黑体" w:hAnsi="黑体" w:eastAsia="黑体" w:cs="黑体"/>
          <w:color w:val="auto"/>
          <w:kern w:val="0"/>
          <w:sz w:val="28"/>
          <w:szCs w:val="28"/>
        </w:rPr>
        <w:fldChar w:fldCharType="end"/>
      </w:r>
      <w:bookmarkEnd w:id="7"/>
      <w:r>
        <w:rPr>
          <w:rFonts w:hint="eastAsia" w:ascii="黑体" w:hAnsi="黑体" w:eastAsia="黑体" w:cs="黑体"/>
          <w:color w:val="auto"/>
          <w:kern w:val="0"/>
          <w:sz w:val="28"/>
          <w:szCs w:val="28"/>
        </w:rPr>
        <w:t>—</w:t>
      </w:r>
      <w:bookmarkStart w:id="8" w:name="StdNo2"/>
      <w:r>
        <w:rPr>
          <w:rFonts w:hint="eastAsia" w:ascii="黑体" w:hAnsi="黑体" w:eastAsia="黑体" w:cs="黑体"/>
          <w:color w:val="auto"/>
          <w:kern w:val="0"/>
          <w:sz w:val="28"/>
          <w:szCs w:val="28"/>
        </w:rPr>
        <w:fldChar w:fldCharType="begin">
          <w:ffData>
            <w:name w:val="StdNo2"/>
            <w:enabled/>
            <w:calcOnExit w:val="0"/>
            <w:textInput>
              <w:default w:val="XXXX"/>
              <w:maxLength w:val="4"/>
            </w:textInput>
          </w:ffData>
        </w:fldChar>
      </w:r>
      <w:r>
        <w:rPr>
          <w:rFonts w:hint="eastAsia" w:ascii="黑体" w:hAnsi="黑体" w:eastAsia="黑体" w:cs="黑体"/>
          <w:color w:val="auto"/>
          <w:kern w:val="0"/>
          <w:sz w:val="28"/>
          <w:szCs w:val="28"/>
        </w:rPr>
        <w:instrText xml:space="preserve"> FORMTEXT </w:instrText>
      </w:r>
      <w:r>
        <w:rPr>
          <w:rFonts w:hint="eastAsia" w:ascii="黑体" w:hAnsi="黑体" w:eastAsia="黑体" w:cs="黑体"/>
          <w:color w:val="auto"/>
          <w:kern w:val="0"/>
          <w:sz w:val="28"/>
          <w:szCs w:val="28"/>
        </w:rPr>
        <w:fldChar w:fldCharType="separate"/>
      </w:r>
      <w:r>
        <w:rPr>
          <w:rFonts w:hint="eastAsia" w:ascii="黑体" w:hAnsi="黑体" w:eastAsia="黑体" w:cs="黑体"/>
          <w:color w:val="auto"/>
          <w:kern w:val="0"/>
          <w:sz w:val="28"/>
          <w:szCs w:val="28"/>
        </w:rPr>
        <w:t>XXXX</w:t>
      </w:r>
      <w:r>
        <w:rPr>
          <w:rFonts w:hint="eastAsia" w:ascii="黑体" w:hAnsi="黑体" w:eastAsia="黑体" w:cs="黑体"/>
          <w:color w:val="auto"/>
          <w:kern w:val="0"/>
          <w:sz w:val="28"/>
          <w:szCs w:val="28"/>
        </w:rPr>
        <w:fldChar w:fldCharType="end"/>
      </w:r>
      <w:bookmarkEnd w:id="8"/>
    </w:p>
    <w:tbl>
      <w:tblPr>
        <w:tblStyle w:val="2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242" w:hRule="exact" w:hSpace="284" w:wrap="around" w:vAnchor="page" w:hAnchor="page" w:x="1645" w:y="2910" w:anchorLock="1"/>
              <w:widowControl/>
              <w:spacing w:before="57" w:line="280" w:lineRule="exact"/>
              <w:jc w:val="right"/>
              <w:rPr>
                <w:rFonts w:ascii="宋体" w:hAnsi="Times New Roman" w:eastAsia="宋体" w:cs="Times New Roman"/>
                <w:color w:val="auto"/>
                <w:kern w:val="0"/>
                <w:szCs w:val="21"/>
              </w:rPr>
            </w:pPr>
            <w:bookmarkStart w:id="9" w:name="DT"/>
            <w:r>
              <w:rPr>
                <w:rFonts w:ascii="宋体" w:hAnsi="Times New Roman" w:eastAsia="宋体" w:cs="Times New Roman"/>
                <w:color w:val="auto"/>
                <w:kern w:val="0"/>
                <w:szCs w:val="20"/>
              </w:rPr>
              <mc:AlternateContent>
                <mc:Choice Requires="wps">
                  <w:drawing>
                    <wp:anchor distT="0" distB="0" distL="114300" distR="114300" simplePos="0" relativeHeight="251666432"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6432;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宋体" w:hAnsi="Times New Roman" w:eastAsia="宋体" w:cs="Times New Roman"/>
                <w:color w:val="auto"/>
                <w:kern w:val="0"/>
                <w:szCs w:val="21"/>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txbxContent>
                      </v:textbox>
                    </v:rect>
                  </w:pict>
                </mc:Fallback>
              </mc:AlternateContent>
            </w:r>
            <w:r>
              <w:rPr>
                <w:rFonts w:ascii="宋体" w:hAnsi="Times New Roman" w:eastAsia="宋体" w:cs="Times New Roman"/>
                <w:color w:val="auto"/>
                <w:kern w:val="0"/>
                <w:szCs w:val="21"/>
              </w:rPr>
              <w:fldChar w:fldCharType="begin">
                <w:ffData>
                  <w:name w:val="DT"/>
                  <w:enabled/>
                  <w:calcOnExit w:val="0"/>
                  <w:textInput/>
                </w:ffData>
              </w:fldChar>
            </w:r>
            <w:r>
              <w:rPr>
                <w:rFonts w:ascii="宋体" w:hAnsi="Times New Roman" w:eastAsia="宋体" w:cs="Times New Roman"/>
                <w:color w:val="auto"/>
                <w:kern w:val="0"/>
                <w:szCs w:val="21"/>
              </w:rPr>
              <w:instrText xml:space="preserve"> FORMTEXT </w:instrText>
            </w:r>
            <w:r>
              <w:rPr>
                <w:rFonts w:ascii="宋体" w:hAnsi="Times New Roman" w:eastAsia="宋体" w:cs="Times New Roman"/>
                <w:color w:val="auto"/>
                <w:kern w:val="0"/>
                <w:szCs w:val="21"/>
              </w:rPr>
              <w:fldChar w:fldCharType="separate"/>
            </w:r>
            <w:r>
              <w:rPr>
                <w:rFonts w:ascii="宋体" w:hAnsi="Times New Roman" w:eastAsia="宋体" w:cs="Times New Roman"/>
                <w:color w:val="auto"/>
                <w:kern w:val="0"/>
                <w:szCs w:val="21"/>
              </w:rPr>
              <w:t>     </w:t>
            </w:r>
            <w:r>
              <w:rPr>
                <w:rFonts w:ascii="宋体" w:hAnsi="Times New Roman" w:eastAsia="宋体" w:cs="Times New Roman"/>
                <w:color w:val="auto"/>
                <w:kern w:val="0"/>
                <w:szCs w:val="21"/>
              </w:rPr>
              <w:fldChar w:fldCharType="end"/>
            </w:r>
            <w:bookmarkEnd w:id="9"/>
          </w:p>
        </w:tc>
      </w:tr>
    </w:tbl>
    <w:p>
      <w:pPr>
        <w:framePr w:w="9140" w:h="1242" w:hRule="exact" w:hSpace="284" w:wrap="around" w:vAnchor="page" w:hAnchor="page" w:x="1645" w:y="2910" w:anchorLock="1"/>
        <w:widowControl/>
        <w:spacing w:before="357" w:line="280" w:lineRule="exact"/>
        <w:jc w:val="right"/>
        <w:rPr>
          <w:rFonts w:ascii="黑体" w:hAnsi="Times New Roman" w:eastAsia="黑体" w:cs="Times New Roman"/>
          <w:color w:val="auto"/>
          <w:kern w:val="0"/>
          <w:sz w:val="28"/>
          <w:szCs w:val="28"/>
        </w:rPr>
      </w:pPr>
    </w:p>
    <w:p>
      <w:pPr>
        <w:framePr w:w="9140" w:h="1242" w:hRule="exact" w:hSpace="284" w:wrap="around" w:vAnchor="page" w:hAnchor="page" w:x="1645" w:y="2910" w:anchorLock="1"/>
        <w:widowControl/>
        <w:spacing w:before="357" w:line="280" w:lineRule="exact"/>
        <w:jc w:val="right"/>
        <w:rPr>
          <w:rFonts w:ascii="黑体" w:hAnsi="Times New Roman" w:eastAsia="黑体" w:cs="Times New Roman"/>
          <w:color w:val="auto"/>
          <w:kern w:val="0"/>
          <w:sz w:val="28"/>
          <w:szCs w:val="28"/>
        </w:rPr>
      </w:pPr>
    </w:p>
    <w:p>
      <w:pPr>
        <w:framePr w:w="9639" w:h="6917" w:hRule="exact" w:wrap="around" w:vAnchor="page" w:hAnchor="page" w:xAlign="center" w:y="6408" w:anchorLock="1"/>
        <w:spacing w:line="680" w:lineRule="exact"/>
        <w:jc w:val="center"/>
        <w:textAlignment w:val="center"/>
        <w:rPr>
          <w:rFonts w:ascii="黑体" w:hAnsi="Times New Roman" w:eastAsia="黑体" w:cs="Times New Roman"/>
          <w:color w:val="auto"/>
          <w:kern w:val="0"/>
          <w:sz w:val="52"/>
          <w:szCs w:val="20"/>
        </w:rPr>
      </w:pPr>
      <w:r>
        <w:rPr>
          <w:rFonts w:hint="eastAsia" w:ascii="黑体" w:hAnsi="Times New Roman" w:eastAsia="黑体" w:cs="Times New Roman"/>
          <w:color w:val="auto"/>
          <w:kern w:val="0"/>
          <w:sz w:val="52"/>
          <w:szCs w:val="20"/>
        </w:rPr>
        <w:t>海洋动物肽产品通用技术规范</w:t>
      </w:r>
    </w:p>
    <w:p>
      <w:pPr>
        <w:framePr w:w="9639" w:h="6917" w:hRule="exact" w:wrap="around" w:vAnchor="page" w:hAnchor="page" w:xAlign="center" w:y="6408" w:anchorLock="1"/>
        <w:spacing w:before="370" w:line="400" w:lineRule="exact"/>
        <w:jc w:val="center"/>
        <w:textAlignment w:val="center"/>
        <w:rPr>
          <w:rFonts w:ascii="Times New Roman" w:hAnsi="Times New Roman" w:eastAsia="黑体" w:cs="Times New Roman"/>
          <w:color w:val="auto"/>
          <w:kern w:val="0"/>
          <w:sz w:val="28"/>
          <w:szCs w:val="28"/>
        </w:rPr>
      </w:pPr>
      <w:bookmarkStart w:id="10" w:name="StdEnglishName"/>
      <w:r>
        <w:rPr>
          <w:rFonts w:ascii="Times New Roman" w:hAnsi="Times New Roman" w:eastAsia="黑体" w:cs="Times New Roman"/>
          <w:color w:val="auto"/>
          <w:kern w:val="0"/>
          <w:sz w:val="28"/>
          <w:szCs w:val="28"/>
        </w:rPr>
        <w:fldChar w:fldCharType="begin">
          <w:ffData>
            <w:name w:val="StdEnglishName"/>
            <w:enabled/>
            <w:calcOnExit w:val="0"/>
            <w:textInput>
              <w:default w:val="General technical specification for marine animal peptide products"/>
            </w:textInput>
          </w:ffData>
        </w:fldChar>
      </w:r>
      <w:r>
        <w:rPr>
          <w:rFonts w:ascii="Times New Roman" w:hAnsi="Times New Roman" w:eastAsia="黑体" w:cs="Times New Roman"/>
          <w:color w:val="auto"/>
          <w:kern w:val="0"/>
          <w:sz w:val="28"/>
          <w:szCs w:val="28"/>
        </w:rPr>
        <w:instrText xml:space="preserve">FORMTEXT</w:instrText>
      </w:r>
      <w:r>
        <w:rPr>
          <w:rFonts w:ascii="Times New Roman" w:hAnsi="Times New Roman" w:eastAsia="黑体" w:cs="Times New Roman"/>
          <w:color w:val="auto"/>
          <w:kern w:val="0"/>
          <w:sz w:val="28"/>
          <w:szCs w:val="28"/>
        </w:rPr>
        <w:fldChar w:fldCharType="separate"/>
      </w:r>
      <w:r>
        <w:rPr>
          <w:rFonts w:ascii="Times New Roman" w:hAnsi="Times New Roman" w:eastAsia="黑体" w:cs="Times New Roman"/>
          <w:color w:val="auto"/>
          <w:kern w:val="0"/>
          <w:sz w:val="28"/>
          <w:szCs w:val="28"/>
        </w:rPr>
        <w:t>General technical specification for marine animal peptide products</w:t>
      </w:r>
      <w:r>
        <w:rPr>
          <w:rFonts w:ascii="Times New Roman" w:hAnsi="Times New Roman" w:eastAsia="黑体" w:cs="Times New Roman"/>
          <w:color w:val="auto"/>
          <w:kern w:val="0"/>
          <w:sz w:val="28"/>
          <w:szCs w:val="28"/>
        </w:rPr>
        <w:fldChar w:fldCharType="end"/>
      </w:r>
      <w:bookmarkEnd w:id="10"/>
    </w:p>
    <w:p>
      <w:pPr>
        <w:framePr w:w="9639" w:h="6917" w:hRule="exact" w:wrap="around" w:vAnchor="page" w:hAnchor="page" w:xAlign="center" w:y="6408" w:anchorLock="1"/>
        <w:spacing w:before="440" w:line="400" w:lineRule="exact"/>
        <w:jc w:val="center"/>
        <w:textAlignment w:val="center"/>
        <w:rPr>
          <w:rFonts w:ascii="宋体" w:hAnsi="Times New Roman" w:eastAsia="宋体" w:cs="Times New Roman"/>
          <w:color w:val="auto"/>
          <w:kern w:val="0"/>
          <w:sz w:val="28"/>
          <w:szCs w:val="28"/>
        </w:rPr>
      </w:pPr>
      <w:bookmarkStart w:id="11" w:name="YZBS"/>
      <w:r>
        <w:rPr>
          <w:rFonts w:ascii="宋体" w:hAnsi="Times New Roman" w:eastAsia="宋体" w:cs="Times New Roman"/>
          <w:color w:val="auto"/>
          <w:kern w:val="0"/>
          <w:sz w:val="28"/>
          <w:szCs w:val="28"/>
        </w:rPr>
        <w:fldChar w:fldCharType="begin">
          <w:ffData>
            <w:name w:val="YZBS"/>
            <w:enabled/>
            <w:calcOnExit w:val="0"/>
            <w:textInput>
              <w:default w:val="点击此处添加与国际标准一致性程度的标识"/>
            </w:textInput>
          </w:ffData>
        </w:fldChar>
      </w:r>
      <w:r>
        <w:rPr>
          <w:rFonts w:ascii="宋体" w:hAnsi="Times New Roman" w:eastAsia="宋体" w:cs="Times New Roman"/>
          <w:color w:val="auto"/>
          <w:kern w:val="0"/>
          <w:sz w:val="28"/>
          <w:szCs w:val="28"/>
        </w:rPr>
        <w:instrText xml:space="preserve"> FORMTEXT </w:instrText>
      </w:r>
      <w:r>
        <w:rPr>
          <w:rFonts w:ascii="宋体" w:hAnsi="Times New Roman" w:eastAsia="宋体" w:cs="Times New Roman"/>
          <w:color w:val="auto"/>
          <w:kern w:val="0"/>
          <w:sz w:val="28"/>
          <w:szCs w:val="28"/>
        </w:rPr>
        <w:fldChar w:fldCharType="separate"/>
      </w:r>
      <w:r>
        <w:rPr>
          <w:rFonts w:ascii="宋体" w:hAnsi="Times New Roman" w:eastAsia="宋体" w:cs="Times New Roman"/>
          <w:color w:val="auto"/>
          <w:kern w:val="0"/>
          <w:sz w:val="28"/>
          <w:szCs w:val="28"/>
        </w:rPr>
        <w:t>     </w:t>
      </w:r>
      <w:r>
        <w:rPr>
          <w:rFonts w:ascii="宋体" w:hAnsi="Times New Roman" w:eastAsia="宋体" w:cs="Times New Roman"/>
          <w:color w:val="auto"/>
          <w:kern w:val="0"/>
          <w:sz w:val="28"/>
          <w:szCs w:val="28"/>
        </w:rPr>
        <w:fldChar w:fldCharType="end"/>
      </w:r>
      <w:bookmarkEnd w:id="11"/>
    </w:p>
    <w:tbl>
      <w:tblPr>
        <w:tblStyle w:val="2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440" w:after="160"/>
              <w:jc w:val="center"/>
              <w:textAlignment w:val="center"/>
              <w:rPr>
                <w:rFonts w:ascii="宋体" w:hAnsi="Times New Roman" w:eastAsia="宋体" w:cs="Times New Roman"/>
                <w:color w:val="auto"/>
                <w:kern w:val="0"/>
                <w:sz w:val="24"/>
                <w:szCs w:val="28"/>
              </w:rPr>
            </w:pPr>
            <w:r>
              <w:rPr>
                <w:rFonts w:hint="eastAsia" w:ascii="宋体" w:hAnsi="Times New Roman" w:eastAsia="宋体" w:cs="Times New Roman"/>
                <w:color w:val="auto"/>
                <w:kern w:val="0"/>
                <w:sz w:val="24"/>
                <w:szCs w:val="28"/>
              </w:rPr>
              <w:t>（</w:t>
            </w:r>
            <w:r>
              <w:rPr>
                <w:rFonts w:hint="eastAsia" w:ascii="宋体" w:hAnsi="Times New Roman" w:eastAsia="宋体" w:cs="Times New Roman"/>
                <w:color w:val="auto"/>
                <w:kern w:val="0"/>
                <w:sz w:val="24"/>
                <w:szCs w:val="28"/>
                <w:lang w:val="en-US" w:eastAsia="zh-CN"/>
              </w:rPr>
              <w:t>征求意见</w:t>
            </w:r>
            <w:r>
              <w:rPr>
                <w:rFonts w:hint="eastAsia" w:ascii="宋体" w:hAnsi="Times New Roman" w:eastAsia="宋体" w:cs="Times New Roman"/>
                <w:color w:val="auto"/>
                <w:kern w:val="0"/>
                <w:sz w:val="24"/>
                <w:szCs w:val="28"/>
              </w:rPr>
              <w:t>稿）</w:t>
            </w:r>
            <w:r>
              <w:rPr>
                <w:rFonts w:ascii="宋体" w:hAnsi="Times New Roman" w:eastAsia="宋体" w:cs="Times New Roman"/>
                <w:color w:val="auto"/>
                <w:kern w:val="0"/>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tAQrSx4C&#10;AAAzBAAADgAAAAAAAAABACAAAAAkAQAAZHJzL2Uyb0RvYy54bWxQSwUGAAAAAAYABgBZAQAAtAUA&#10;AAAA&#10;">
                      <v:fill on="t" focussize="0,0"/>
                      <v:stroke on="f"/>
                      <v:imagedata o:title=""/>
                      <o:lock v:ext="edit" aspectratio="f"/>
                      <v:textbox>
                        <w:txbxContent>
                          <w:p/>
                        </w:txbxContent>
                      </v:textbox>
                      <w10:anchorlock/>
                    </v:rect>
                  </w:pict>
                </mc:Fallback>
              </mc:AlternateContent>
            </w:r>
            <w:r>
              <w:rPr>
                <w:rFonts w:ascii="宋体" w:hAnsi="Times New Roman" w:eastAsia="宋体" w:cs="Times New Roman"/>
                <w:color w:val="auto"/>
                <w:kern w:val="0"/>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L5dYAAAAJ&#10;AQAADwAAAAAAAAABACAAAAAiAAAAZHJzL2Rvd25yZXYueG1sUEsBAhQAFAAAAAgAh07iQNDteI0e&#10;AgAAMwQAAA4AAAAAAAAAAQAgAAAAJQEAAGRycy9lMm9Eb2MueG1sUEsFBgAAAAAGAAYAWQEAALUF&#10;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eastAsia="宋体" w:cs="Times New Roman"/>
                <w:color w:val="auto"/>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Align="center" w:y="6408" w:anchorLock="1"/>
              <w:spacing w:before="180" w:after="160" w:line="180" w:lineRule="exact"/>
              <w:jc w:val="center"/>
              <w:textAlignment w:val="center"/>
              <w:rPr>
                <w:rFonts w:ascii="宋体" w:hAnsi="Times New Roman" w:cs="Times New Roman"/>
                <w:color w:val="auto"/>
                <w:kern w:val="0"/>
                <w:szCs w:val="28"/>
              </w:rPr>
            </w:pPr>
          </w:p>
        </w:tc>
      </w:tr>
    </w:tbl>
    <w:p>
      <w:pPr>
        <w:framePr w:w="3997" w:h="471" w:hRule="exact" w:vSpace="181" w:wrap="around" w:vAnchor="page" w:hAnchor="page" w:x="1419" w:y="14097" w:anchorLock="1"/>
        <w:widowControl/>
        <w:jc w:val="left"/>
        <w:rPr>
          <w:rFonts w:ascii="Times New Roman" w:hAnsi="Times New Roman" w:eastAsia="黑体" w:cs="Times New Roman"/>
          <w:color w:val="auto"/>
          <w:kern w:val="0"/>
          <w:sz w:val="28"/>
          <w:szCs w:val="20"/>
        </w:rPr>
      </w:pPr>
      <w:bookmarkStart w:id="12" w:name="FY"/>
      <w:r>
        <w:rPr>
          <w:rFonts w:ascii="黑体" w:hAnsi="Times New Roman" w:eastAsia="黑体" w:cs="Times New Roman"/>
          <w:color w:val="auto"/>
          <w:kern w:val="0"/>
          <w:sz w:val="28"/>
          <w:szCs w:val="20"/>
        </w:rPr>
        <w:fldChar w:fldCharType="begin">
          <w:ffData>
            <w:name w:val="FY"/>
            <w:enabled/>
            <w:calcOnExit w:val="0"/>
            <w:textInput>
              <w:default w:val="XXXX"/>
              <w:maxLength w:val="4"/>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XXXX</w:t>
      </w:r>
      <w:r>
        <w:rPr>
          <w:rFonts w:ascii="黑体" w:hAnsi="Times New Roman" w:eastAsia="黑体" w:cs="Times New Roman"/>
          <w:color w:val="auto"/>
          <w:kern w:val="0"/>
          <w:sz w:val="28"/>
          <w:szCs w:val="20"/>
        </w:rPr>
        <w:fldChar w:fldCharType="end"/>
      </w:r>
      <w:bookmarkEnd w:id="12"/>
      <w:r>
        <w:rPr>
          <w:rFonts w:ascii="Times New Roman" w:hAnsi="Times New Roman" w:eastAsia="黑体" w:cs="Times New Roman"/>
          <w:color w:val="auto"/>
          <w:kern w:val="0"/>
          <w:sz w:val="28"/>
          <w:szCs w:val="20"/>
        </w:rPr>
        <w:t xml:space="preserve"> </w:t>
      </w:r>
      <w:r>
        <w:rPr>
          <w:rFonts w:ascii="黑体" w:hAnsi="Times New Roman" w:eastAsia="黑体" w:cs="Times New Roman"/>
          <w:color w:val="auto"/>
          <w:kern w:val="0"/>
          <w:sz w:val="28"/>
          <w:szCs w:val="20"/>
        </w:rPr>
        <w:t>-</w:t>
      </w:r>
      <w:r>
        <w:rPr>
          <w:rFonts w:ascii="Times New Roman" w:hAnsi="Times New Roman" w:eastAsia="黑体" w:cs="Times New Roman"/>
          <w:color w:val="auto"/>
          <w:kern w:val="0"/>
          <w:sz w:val="28"/>
          <w:szCs w:val="20"/>
        </w:rPr>
        <w:t xml:space="preserve"> </w:t>
      </w:r>
      <w:bookmarkStart w:id="13" w:name="FM"/>
      <w:r>
        <w:rPr>
          <w:rFonts w:ascii="黑体" w:hAnsi="Times New Roman" w:eastAsia="黑体" w:cs="Times New Roman"/>
          <w:color w:val="auto"/>
          <w:kern w:val="0"/>
          <w:sz w:val="28"/>
          <w:szCs w:val="20"/>
        </w:rPr>
        <w:fldChar w:fldCharType="begin">
          <w:ffData>
            <w:name w:val="FM"/>
            <w:enabled/>
            <w:calcOnExit w:val="0"/>
            <w:textInput>
              <w:default w:val="XX"/>
              <w:maxLength w:val="2"/>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w:t>
      </w:r>
      <w:r>
        <w:rPr>
          <w:rFonts w:ascii="黑体" w:hAnsi="Times New Roman" w:eastAsia="黑体" w:cs="Times New Roman"/>
          <w:color w:val="auto"/>
          <w:kern w:val="0"/>
          <w:sz w:val="28"/>
          <w:szCs w:val="20"/>
        </w:rPr>
        <w:fldChar w:fldCharType="end"/>
      </w:r>
      <w:bookmarkEnd w:id="13"/>
      <w:r>
        <w:rPr>
          <w:rFonts w:ascii="Times New Roman" w:hAnsi="Times New Roman" w:eastAsia="黑体" w:cs="Times New Roman"/>
          <w:color w:val="auto"/>
          <w:kern w:val="0"/>
          <w:sz w:val="28"/>
          <w:szCs w:val="20"/>
        </w:rPr>
        <w:t xml:space="preserve"> </w:t>
      </w:r>
      <w:r>
        <w:rPr>
          <w:rFonts w:ascii="黑体" w:hAnsi="Times New Roman" w:eastAsia="黑体" w:cs="Times New Roman"/>
          <w:color w:val="auto"/>
          <w:kern w:val="0"/>
          <w:sz w:val="28"/>
          <w:szCs w:val="20"/>
        </w:rPr>
        <w:t>-</w:t>
      </w:r>
      <w:r>
        <w:rPr>
          <w:rFonts w:ascii="Times New Roman" w:hAnsi="Times New Roman" w:eastAsia="黑体" w:cs="Times New Roman"/>
          <w:color w:val="auto"/>
          <w:kern w:val="0"/>
          <w:sz w:val="28"/>
          <w:szCs w:val="20"/>
        </w:rPr>
        <w:t xml:space="preserve"> </w:t>
      </w:r>
      <w:bookmarkStart w:id="14" w:name="FD"/>
      <w:r>
        <w:rPr>
          <w:rFonts w:ascii="黑体" w:hAnsi="Times New Roman" w:eastAsia="黑体" w:cs="Times New Roman"/>
          <w:color w:val="auto"/>
          <w:kern w:val="0"/>
          <w:sz w:val="28"/>
          <w:szCs w:val="20"/>
        </w:rPr>
        <w:fldChar w:fldCharType="begin">
          <w:ffData>
            <w:name w:val="FD"/>
            <w:enabled/>
            <w:calcOnExit w:val="0"/>
            <w:textInput>
              <w:default w:val="XX"/>
              <w:maxLength w:val="2"/>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w:t>
      </w:r>
      <w:r>
        <w:rPr>
          <w:rFonts w:ascii="黑体" w:hAnsi="Times New Roman" w:eastAsia="黑体" w:cs="Times New Roman"/>
          <w:color w:val="auto"/>
          <w:kern w:val="0"/>
          <w:sz w:val="28"/>
          <w:szCs w:val="20"/>
        </w:rPr>
        <w:fldChar w:fldCharType="end"/>
      </w:r>
      <w:bookmarkEnd w:id="14"/>
      <w:r>
        <w:rPr>
          <w:rFonts w:hint="eastAsia" w:ascii="Times New Roman" w:hAnsi="Times New Roman" w:eastAsia="黑体" w:cs="Times New Roman"/>
          <w:color w:val="auto"/>
          <w:kern w:val="0"/>
          <w:sz w:val="28"/>
          <w:szCs w:val="20"/>
        </w:rPr>
        <w:t>发布</w:t>
      </w:r>
      <w:r>
        <w:rPr>
          <w:rFonts w:ascii="Times New Roman" w:hAnsi="Times New Roman" w:eastAsia="黑体" w:cs="Times New Roman"/>
          <w:color w:val="auto"/>
          <w:kern w:val="0"/>
          <w:sz w:val="28"/>
          <w:szCs w:val="20"/>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黑体" w:cs="Times New Roman"/>
          <w:color w:val="auto"/>
          <w:kern w:val="0"/>
          <w:sz w:val="28"/>
          <w:szCs w:val="20"/>
        </w:rPr>
      </w:pPr>
      <w:bookmarkStart w:id="15" w:name="SY"/>
      <w:r>
        <w:rPr>
          <w:rFonts w:ascii="黑体" w:hAnsi="Times New Roman" w:eastAsia="黑体" w:cs="Times New Roman"/>
          <w:color w:val="auto"/>
          <w:kern w:val="0"/>
          <w:sz w:val="28"/>
          <w:szCs w:val="20"/>
        </w:rPr>
        <w:fldChar w:fldCharType="begin">
          <w:ffData>
            <w:name w:val="SY"/>
            <w:enabled/>
            <w:calcOnExit w:val="0"/>
            <w:textInput>
              <w:default w:val="XXXX"/>
              <w:maxLength w:val="4"/>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XXXX</w:t>
      </w:r>
      <w:r>
        <w:rPr>
          <w:rFonts w:ascii="黑体" w:hAnsi="Times New Roman" w:eastAsia="黑体" w:cs="Times New Roman"/>
          <w:color w:val="auto"/>
          <w:kern w:val="0"/>
          <w:sz w:val="28"/>
          <w:szCs w:val="20"/>
        </w:rPr>
        <w:fldChar w:fldCharType="end"/>
      </w:r>
      <w:bookmarkEnd w:id="15"/>
      <w:r>
        <w:rPr>
          <w:rFonts w:ascii="Times New Roman" w:hAnsi="Times New Roman" w:eastAsia="黑体" w:cs="Times New Roman"/>
          <w:color w:val="auto"/>
          <w:kern w:val="0"/>
          <w:sz w:val="28"/>
          <w:szCs w:val="20"/>
        </w:rPr>
        <w:t xml:space="preserve"> </w:t>
      </w:r>
      <w:r>
        <w:rPr>
          <w:rFonts w:ascii="黑体" w:hAnsi="Times New Roman" w:eastAsia="黑体" w:cs="Times New Roman"/>
          <w:color w:val="auto"/>
          <w:kern w:val="0"/>
          <w:sz w:val="28"/>
          <w:szCs w:val="20"/>
        </w:rPr>
        <w:t>-</w:t>
      </w:r>
      <w:r>
        <w:rPr>
          <w:rFonts w:ascii="Times New Roman" w:hAnsi="Times New Roman" w:eastAsia="黑体" w:cs="Times New Roman"/>
          <w:color w:val="auto"/>
          <w:kern w:val="0"/>
          <w:sz w:val="28"/>
          <w:szCs w:val="20"/>
        </w:rPr>
        <w:t xml:space="preserve"> </w:t>
      </w:r>
      <w:bookmarkStart w:id="16" w:name="SM"/>
      <w:r>
        <w:rPr>
          <w:rFonts w:ascii="黑体" w:hAnsi="Times New Roman" w:eastAsia="黑体" w:cs="Times New Roman"/>
          <w:color w:val="auto"/>
          <w:kern w:val="0"/>
          <w:sz w:val="28"/>
          <w:szCs w:val="20"/>
        </w:rPr>
        <w:fldChar w:fldCharType="begin">
          <w:ffData>
            <w:name w:val="SM"/>
            <w:enabled/>
            <w:calcOnExit w:val="0"/>
            <w:textInput>
              <w:default w:val="XX"/>
              <w:maxLength w:val="2"/>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w:t>
      </w:r>
      <w:r>
        <w:rPr>
          <w:rFonts w:ascii="黑体" w:hAnsi="Times New Roman" w:eastAsia="黑体" w:cs="Times New Roman"/>
          <w:color w:val="auto"/>
          <w:kern w:val="0"/>
          <w:sz w:val="28"/>
          <w:szCs w:val="20"/>
        </w:rPr>
        <w:fldChar w:fldCharType="end"/>
      </w:r>
      <w:bookmarkEnd w:id="16"/>
      <w:r>
        <w:rPr>
          <w:rFonts w:ascii="Times New Roman" w:hAnsi="Times New Roman" w:eastAsia="黑体" w:cs="Times New Roman"/>
          <w:color w:val="auto"/>
          <w:kern w:val="0"/>
          <w:sz w:val="28"/>
          <w:szCs w:val="20"/>
        </w:rPr>
        <w:t xml:space="preserve"> </w:t>
      </w:r>
      <w:r>
        <w:rPr>
          <w:rFonts w:ascii="黑体" w:hAnsi="Times New Roman" w:eastAsia="黑体" w:cs="Times New Roman"/>
          <w:color w:val="auto"/>
          <w:kern w:val="0"/>
          <w:sz w:val="28"/>
          <w:szCs w:val="20"/>
        </w:rPr>
        <w:t>-</w:t>
      </w:r>
      <w:r>
        <w:rPr>
          <w:rFonts w:ascii="Times New Roman" w:hAnsi="Times New Roman" w:eastAsia="黑体" w:cs="Times New Roman"/>
          <w:color w:val="auto"/>
          <w:kern w:val="0"/>
          <w:sz w:val="28"/>
          <w:szCs w:val="20"/>
        </w:rPr>
        <w:t xml:space="preserve"> </w:t>
      </w:r>
      <w:bookmarkStart w:id="17" w:name="SD"/>
      <w:r>
        <w:rPr>
          <w:rFonts w:ascii="黑体" w:hAnsi="Times New Roman" w:eastAsia="黑体" w:cs="Times New Roman"/>
          <w:color w:val="auto"/>
          <w:kern w:val="0"/>
          <w:sz w:val="28"/>
          <w:szCs w:val="20"/>
        </w:rPr>
        <w:fldChar w:fldCharType="begin">
          <w:ffData>
            <w:name w:val="SD"/>
            <w:enabled/>
            <w:calcOnExit w:val="0"/>
            <w:textInput>
              <w:default w:val="XX"/>
              <w:maxLength w:val="2"/>
            </w:textInput>
          </w:ffData>
        </w:fldChar>
      </w:r>
      <w:r>
        <w:rPr>
          <w:rFonts w:ascii="黑体" w:hAnsi="Times New Roman" w:eastAsia="黑体" w:cs="Times New Roman"/>
          <w:color w:val="auto"/>
          <w:kern w:val="0"/>
          <w:sz w:val="28"/>
          <w:szCs w:val="20"/>
        </w:rPr>
        <w:instrText xml:space="preserve"> FORMTEXT </w:instrText>
      </w:r>
      <w:r>
        <w:rPr>
          <w:rFonts w:ascii="黑体" w:hAnsi="Times New Roman" w:eastAsia="黑体" w:cs="Times New Roman"/>
          <w:color w:val="auto"/>
          <w:kern w:val="0"/>
          <w:sz w:val="28"/>
          <w:szCs w:val="20"/>
        </w:rPr>
        <w:fldChar w:fldCharType="separate"/>
      </w:r>
      <w:r>
        <w:rPr>
          <w:rFonts w:ascii="黑体" w:hAnsi="Times New Roman" w:eastAsia="黑体" w:cs="Times New Roman"/>
          <w:color w:val="auto"/>
          <w:kern w:val="0"/>
          <w:sz w:val="28"/>
          <w:szCs w:val="20"/>
        </w:rPr>
        <w:t>XX</w:t>
      </w:r>
      <w:r>
        <w:rPr>
          <w:rFonts w:ascii="黑体" w:hAnsi="Times New Roman" w:eastAsia="黑体" w:cs="Times New Roman"/>
          <w:color w:val="auto"/>
          <w:kern w:val="0"/>
          <w:sz w:val="28"/>
          <w:szCs w:val="20"/>
        </w:rPr>
        <w:fldChar w:fldCharType="end"/>
      </w:r>
      <w:bookmarkEnd w:id="17"/>
      <w:r>
        <w:rPr>
          <w:rFonts w:hint="eastAsia" w:ascii="Times New Roman" w:hAnsi="Times New Roman" w:eastAsia="黑体" w:cs="Times New Roman"/>
          <w:color w:val="auto"/>
          <w:kern w:val="0"/>
          <w:sz w:val="28"/>
          <w:szCs w:val="20"/>
        </w:rPr>
        <w:t>实施</w:t>
      </w:r>
    </w:p>
    <w:p>
      <w:pPr>
        <w:framePr w:w="7938" w:h="1134" w:hRule="exact" w:hSpace="125" w:vSpace="181" w:wrap="around" w:vAnchor="page" w:hAnchor="page" w:x="2358" w:y="14811" w:anchorLock="1"/>
        <w:widowControl/>
        <w:jc w:val="center"/>
        <w:rPr>
          <w:rFonts w:ascii="宋体" w:hAnsi="Times New Roman" w:eastAsia="宋体" w:cs="Times New Roman"/>
          <w:b/>
          <w:color w:val="auto"/>
          <w:spacing w:val="20"/>
          <w:w w:val="135"/>
          <w:kern w:val="0"/>
          <w:szCs w:val="21"/>
        </w:rPr>
      </w:pPr>
      <w:r>
        <w:rPr>
          <w:rFonts w:hint="eastAsia" w:ascii="宋体" w:hAnsi="Times New Roman" w:eastAsia="宋体" w:cs="Times New Roman"/>
          <w:b/>
          <w:color w:val="auto"/>
          <w:spacing w:val="20"/>
          <w:w w:val="135"/>
          <w:kern w:val="0"/>
          <w:sz w:val="28"/>
          <w:szCs w:val="20"/>
        </w:rPr>
        <w:t xml:space="preserve">中国食品药品企业质量安全促进会   </w:t>
      </w:r>
      <w:r>
        <w:rPr>
          <w:rFonts w:hint="eastAsia" w:ascii="宋体" w:hAnsi="Times New Roman" w:eastAsia="宋体" w:cs="Times New Roman"/>
          <w:b/>
          <w:color w:val="auto"/>
          <w:spacing w:val="20"/>
          <w:w w:val="135"/>
          <w:kern w:val="0"/>
          <w:szCs w:val="21"/>
        </w:rPr>
        <w:t>发布</w:t>
      </w:r>
    </w:p>
    <w:p>
      <w:pPr>
        <w:widowControl/>
        <w:tabs>
          <w:tab w:val="center" w:pos="4201"/>
          <w:tab w:val="right" w:leader="dot" w:pos="9298"/>
        </w:tabs>
        <w:autoSpaceDE w:val="0"/>
        <w:autoSpaceDN w:val="0"/>
        <w:ind w:firstLine="420" w:firstLineChars="200"/>
        <w:rPr>
          <w:rFonts w:ascii="宋体" w:hAnsi="Times New Roman" w:eastAsia="宋体" w:cs="Times New Roman"/>
          <w:color w:val="auto"/>
          <w:kern w:val="0"/>
          <w:szCs w:val="20"/>
        </w:rPr>
      </w:pPr>
    </w:p>
    <w:p>
      <w:pPr>
        <w:widowControl/>
        <w:tabs>
          <w:tab w:val="center" w:pos="4201"/>
          <w:tab w:val="right" w:leader="dot" w:pos="9298"/>
        </w:tabs>
        <w:autoSpaceDE w:val="0"/>
        <w:autoSpaceDN w:val="0"/>
        <w:rPr>
          <w:rFonts w:ascii="宋体" w:hAnsi="Times New Roman" w:eastAsia="宋体" w:cs="Times New Roman"/>
          <w:color w:val="auto"/>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p>
      <w:pPr>
        <w:pStyle w:val="16"/>
        <w:tabs>
          <w:tab w:val="right" w:leader="dot" w:pos="9070"/>
          <w:tab w:val="clear" w:pos="567"/>
          <w:tab w:val="clear" w:pos="840"/>
          <w:tab w:val="clear" w:pos="9060"/>
        </w:tabs>
        <w:spacing w:before="611" w:after="440"/>
        <w:jc w:val="center"/>
        <w:rPr>
          <w:rFonts w:ascii="宋体" w:hAnsi="宋体" w:cs="宋体"/>
          <w:color w:val="auto"/>
          <w:highlight w:val="yellow"/>
        </w:rPr>
      </w:pPr>
      <w:bookmarkStart w:id="18" w:name="_Toc19221"/>
      <w:bookmarkStart w:id="19" w:name="_Toc18489"/>
      <w:bookmarkStart w:id="20" w:name="_Toc9357"/>
      <w:bookmarkStart w:id="21" w:name="_Toc20222"/>
      <w:bookmarkStart w:id="22" w:name="_Toc15695"/>
      <w:bookmarkStart w:id="23" w:name="_Toc13608"/>
      <w:r>
        <w:rPr>
          <w:rFonts w:hint="eastAsia" w:eastAsia="黑体" w:asciiTheme="majorHAnsi" w:hAnsiTheme="majorHAnsi" w:cstheme="majorBidi"/>
          <w:bCs/>
          <w:color w:val="auto"/>
          <w:sz w:val="32"/>
          <w:szCs w:val="32"/>
        </w:rPr>
        <w:t>目    次</w:t>
      </w:r>
      <w:bookmarkEnd w:id="0"/>
      <w:bookmarkEnd w:id="1"/>
      <w:bookmarkEnd w:id="2"/>
      <w:bookmarkEnd w:id="3"/>
      <w:bookmarkEnd w:id="4"/>
      <w:bookmarkEnd w:id="5"/>
      <w:bookmarkEnd w:id="6"/>
      <w:bookmarkEnd w:id="18"/>
      <w:bookmarkEnd w:id="19"/>
      <w:bookmarkEnd w:id="20"/>
      <w:bookmarkEnd w:id="21"/>
      <w:bookmarkEnd w:id="22"/>
      <w:bookmarkEnd w:id="23"/>
      <w:r>
        <w:rPr>
          <w:rFonts w:hint="eastAsia" w:ascii="宋体" w:hAnsi="宋体" w:cs="宋体"/>
          <w:color w:val="auto"/>
          <w:highlight w:val="yellow"/>
        </w:rPr>
        <w:fldChar w:fldCharType="begin"/>
      </w:r>
      <w:r>
        <w:rPr>
          <w:rFonts w:hint="eastAsia" w:ascii="宋体" w:hAnsi="宋体" w:cs="宋体"/>
          <w:color w:val="auto"/>
          <w:highlight w:val="yellow"/>
        </w:rPr>
        <w:instrText xml:space="preserve"> TOC \h \z \t "章标题,1,目次、前言、引言,1,1章标题,1,标准文件_一级条标题,2,前言标题,1,一级条标题,2,附录标识,1,附录标题,1,附录章标题,2" </w:instrText>
      </w:r>
      <w:r>
        <w:rPr>
          <w:rFonts w:hint="eastAsia" w:ascii="宋体" w:hAnsi="宋体" w:cs="宋体"/>
          <w:color w:val="auto"/>
          <w:highlight w:val="yellow"/>
        </w:rPr>
        <w:fldChar w:fldCharType="separate"/>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"_Toc16847" </w:instrText>
      </w:r>
      <w:r>
        <w:rPr>
          <w:rFonts w:hint="eastAsia" w:ascii="宋体" w:hAnsi="宋体" w:eastAsia="宋体" w:cs="宋体"/>
          <w:color w:val="auto"/>
        </w:rPr>
        <w:fldChar w:fldCharType="separate"/>
      </w:r>
      <w:r>
        <w:rPr>
          <w:rFonts w:hint="eastAsia" w:ascii="宋体" w:hAnsi="宋体" w:eastAsia="宋体" w:cs="宋体"/>
          <w:bCs/>
          <w:color w:val="auto"/>
          <w:szCs w:val="32"/>
        </w:rPr>
        <w:t>前言</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_Toc16847 \h </w:instrText>
      </w:r>
      <w:r>
        <w:rPr>
          <w:rFonts w:hint="eastAsia" w:ascii="宋体" w:hAnsi="宋体" w:eastAsia="宋体" w:cs="宋体"/>
          <w:color w:val="auto"/>
        </w:rPr>
        <w:fldChar w:fldCharType="separate"/>
      </w:r>
      <w:r>
        <w:rPr>
          <w:rFonts w:hint="eastAsia" w:ascii="宋体" w:hAnsi="宋体" w:eastAsia="宋体" w:cs="宋体"/>
          <w:color w:val="auto"/>
        </w:rPr>
        <w:t>II</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"_Toc28610" </w:instrText>
      </w:r>
      <w:r>
        <w:rPr>
          <w:rFonts w:hint="eastAsia" w:ascii="宋体" w:hAnsi="宋体" w:eastAsia="宋体" w:cs="宋体"/>
          <w:color w:val="auto"/>
        </w:rPr>
        <w:fldChar w:fldCharType="separate"/>
      </w:r>
      <w:r>
        <w:rPr>
          <w:rFonts w:hint="eastAsia" w:ascii="宋体" w:hAnsi="宋体" w:eastAsia="宋体" w:cs="宋体"/>
          <w:color w:val="auto"/>
        </w:rPr>
        <w:t>1 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_Toc28610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"_Toc5481" </w:instrText>
      </w:r>
      <w:r>
        <w:rPr>
          <w:rFonts w:hint="eastAsia" w:ascii="宋体" w:hAnsi="宋体" w:eastAsia="宋体" w:cs="宋体"/>
          <w:color w:val="auto"/>
        </w:rPr>
        <w:fldChar w:fldCharType="separate"/>
      </w:r>
      <w:r>
        <w:rPr>
          <w:rFonts w:hint="eastAsia" w:ascii="宋体" w:hAnsi="宋体" w:eastAsia="宋体" w:cs="宋体"/>
          <w:color w:val="auto"/>
        </w:rPr>
        <w:t>2 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_Toc5481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"_Toc10714" </w:instrText>
      </w:r>
      <w:r>
        <w:rPr>
          <w:rFonts w:hint="eastAsia" w:ascii="宋体" w:hAnsi="宋体" w:eastAsia="宋体" w:cs="宋体"/>
          <w:color w:val="auto"/>
        </w:rPr>
        <w:fldChar w:fldCharType="separate"/>
      </w:r>
      <w:r>
        <w:rPr>
          <w:rFonts w:hint="eastAsia" w:ascii="宋体" w:hAnsi="宋体" w:eastAsia="宋体" w:cs="宋体"/>
          <w:color w:val="auto"/>
        </w:rPr>
        <w:t>3 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_Toc10714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"_Toc2037" </w:instrText>
      </w:r>
      <w:r>
        <w:rPr>
          <w:rFonts w:hint="eastAsia" w:ascii="宋体" w:hAnsi="宋体" w:eastAsia="宋体" w:cs="宋体"/>
          <w:color w:val="auto"/>
        </w:rPr>
        <w:fldChar w:fldCharType="separate"/>
      </w:r>
      <w:r>
        <w:rPr>
          <w:rFonts w:hint="eastAsia" w:ascii="宋体" w:hAnsi="宋体" w:eastAsia="宋体" w:cs="宋体"/>
          <w:color w:val="auto"/>
        </w:rPr>
        <w:t>4 产品分类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_Toc2037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"_Toc24063" </w:instrText>
      </w:r>
      <w:r>
        <w:rPr>
          <w:rFonts w:hint="eastAsia" w:ascii="宋体" w:hAnsi="宋体" w:eastAsia="宋体" w:cs="宋体"/>
          <w:color w:val="auto"/>
        </w:rPr>
        <w:fldChar w:fldCharType="separate"/>
      </w:r>
      <w:r>
        <w:rPr>
          <w:rFonts w:hint="eastAsia" w:ascii="宋体" w:hAnsi="宋体" w:eastAsia="宋体" w:cs="宋体"/>
          <w:color w:val="auto"/>
        </w:rPr>
        <w:t xml:space="preserve">4.1 </w:t>
      </w:r>
      <w:r>
        <w:rPr>
          <w:rFonts w:hint="eastAsia" w:ascii="宋体" w:hAnsi="宋体" w:eastAsia="宋体" w:cs="宋体"/>
          <w:color w:val="auto"/>
          <w:szCs w:val="22"/>
        </w:rPr>
        <w:t>按原料分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_Toc24063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"_Toc10957" </w:instrText>
      </w:r>
      <w:r>
        <w:rPr>
          <w:rFonts w:hint="eastAsia" w:ascii="宋体" w:hAnsi="宋体" w:eastAsia="宋体" w:cs="宋体"/>
          <w:color w:val="auto"/>
        </w:rPr>
        <w:fldChar w:fldCharType="separate"/>
      </w:r>
      <w:r>
        <w:rPr>
          <w:rFonts w:hint="eastAsia" w:ascii="宋体" w:hAnsi="宋体" w:eastAsia="宋体" w:cs="宋体"/>
          <w:color w:val="auto"/>
        </w:rPr>
        <w:t xml:space="preserve">4.2 </w:t>
      </w:r>
      <w:r>
        <w:rPr>
          <w:rFonts w:hint="eastAsia" w:ascii="宋体" w:hAnsi="宋体" w:eastAsia="宋体" w:cs="宋体"/>
          <w:color w:val="auto"/>
          <w:szCs w:val="22"/>
        </w:rPr>
        <w:t>按分子量分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_Toc10957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"_Toc9298" </w:instrText>
      </w:r>
      <w:r>
        <w:rPr>
          <w:rFonts w:hint="eastAsia" w:ascii="宋体" w:hAnsi="宋体" w:eastAsia="宋体" w:cs="宋体"/>
          <w:color w:val="auto"/>
        </w:rPr>
        <w:fldChar w:fldCharType="separate"/>
      </w:r>
      <w:r>
        <w:rPr>
          <w:rFonts w:hint="eastAsia" w:ascii="宋体" w:hAnsi="宋体" w:eastAsia="宋体" w:cs="宋体"/>
          <w:color w:val="auto"/>
        </w:rPr>
        <w:t>5 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_Toc9298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"_Toc29160" </w:instrText>
      </w:r>
      <w:r>
        <w:rPr>
          <w:rFonts w:hint="eastAsia" w:ascii="宋体" w:hAnsi="宋体" w:eastAsia="宋体" w:cs="宋体"/>
          <w:color w:val="auto"/>
        </w:rPr>
        <w:fldChar w:fldCharType="separate"/>
      </w:r>
      <w:r>
        <w:rPr>
          <w:rFonts w:hint="eastAsia" w:ascii="宋体" w:hAnsi="宋体" w:eastAsia="宋体" w:cs="宋体"/>
          <w:color w:val="auto"/>
        </w:rPr>
        <w:t>5.1 原辅料要求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_Toc29160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"_Toc3300" </w:instrText>
      </w:r>
      <w:r>
        <w:rPr>
          <w:rFonts w:hint="eastAsia" w:ascii="宋体" w:hAnsi="宋体" w:eastAsia="宋体" w:cs="宋体"/>
          <w:color w:val="auto"/>
        </w:rPr>
        <w:fldChar w:fldCharType="separate"/>
      </w:r>
      <w:r>
        <w:rPr>
          <w:rFonts w:hint="eastAsia" w:ascii="宋体" w:hAnsi="宋体" w:eastAsia="宋体" w:cs="宋体"/>
          <w:color w:val="auto"/>
        </w:rPr>
        <w:t>5.2 生产要求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_Toc3300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"_Toc23084" </w:instrText>
      </w:r>
      <w:r>
        <w:rPr>
          <w:rFonts w:hint="eastAsia" w:ascii="宋体" w:hAnsi="宋体" w:eastAsia="宋体" w:cs="宋体"/>
          <w:color w:val="auto"/>
        </w:rPr>
        <w:fldChar w:fldCharType="separate"/>
      </w:r>
      <w:r>
        <w:rPr>
          <w:rFonts w:hint="eastAsia" w:ascii="宋体" w:hAnsi="宋体" w:eastAsia="宋体" w:cs="宋体"/>
          <w:color w:val="auto"/>
        </w:rPr>
        <w:t>5.3 技术要求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_Toc23084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"_Toc23371" </w:instrText>
      </w:r>
      <w:r>
        <w:rPr>
          <w:rFonts w:hint="eastAsia" w:ascii="宋体" w:hAnsi="宋体" w:eastAsia="宋体" w:cs="宋体"/>
          <w:color w:val="auto"/>
        </w:rPr>
        <w:fldChar w:fldCharType="separate"/>
      </w:r>
      <w:r>
        <w:rPr>
          <w:rFonts w:hint="eastAsia" w:ascii="宋体" w:hAnsi="宋体" w:eastAsia="宋体" w:cs="宋体"/>
          <w:color w:val="auto"/>
        </w:rPr>
        <w:t>6 测试方法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_Toc23371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"_Toc4597" </w:instrText>
      </w:r>
      <w:r>
        <w:rPr>
          <w:rFonts w:hint="eastAsia" w:ascii="宋体" w:hAnsi="宋体" w:eastAsia="宋体" w:cs="宋体"/>
          <w:color w:val="auto"/>
        </w:rPr>
        <w:fldChar w:fldCharType="separate"/>
      </w:r>
      <w:r>
        <w:rPr>
          <w:rFonts w:hint="eastAsia" w:ascii="宋体" w:hAnsi="宋体" w:eastAsia="宋体" w:cs="宋体"/>
          <w:color w:val="auto"/>
        </w:rPr>
        <w:t>6.1 感官要求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_Toc4597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"_Toc8468" </w:instrText>
      </w:r>
      <w:r>
        <w:rPr>
          <w:rFonts w:hint="eastAsia" w:ascii="宋体" w:hAnsi="宋体" w:eastAsia="宋体" w:cs="宋体"/>
          <w:color w:val="auto"/>
        </w:rPr>
        <w:fldChar w:fldCharType="separate"/>
      </w:r>
      <w:r>
        <w:rPr>
          <w:rFonts w:hint="eastAsia" w:ascii="宋体" w:hAnsi="宋体" w:eastAsia="宋体" w:cs="宋体"/>
          <w:color w:val="auto"/>
        </w:rPr>
        <w:t>6.2 理化指标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_Toc8468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"_Toc30419" </w:instrText>
      </w:r>
      <w:r>
        <w:rPr>
          <w:rFonts w:hint="eastAsia" w:ascii="宋体" w:hAnsi="宋体" w:eastAsia="宋体" w:cs="宋体"/>
          <w:color w:val="auto"/>
        </w:rPr>
        <w:fldChar w:fldCharType="separate"/>
      </w:r>
      <w:r>
        <w:rPr>
          <w:rFonts w:hint="eastAsia" w:ascii="宋体" w:hAnsi="宋体" w:eastAsia="宋体" w:cs="宋体"/>
          <w:color w:val="auto"/>
        </w:rPr>
        <w:t>6.3 卫生指标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_Toc30419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"_Toc22259" </w:instrText>
      </w:r>
      <w:r>
        <w:rPr>
          <w:rFonts w:hint="eastAsia" w:ascii="宋体" w:hAnsi="宋体" w:eastAsia="宋体" w:cs="宋体"/>
          <w:color w:val="auto"/>
        </w:rPr>
        <w:fldChar w:fldCharType="separate"/>
      </w:r>
      <w:r>
        <w:rPr>
          <w:rFonts w:hint="eastAsia" w:ascii="宋体" w:hAnsi="宋体" w:eastAsia="宋体" w:cs="宋体"/>
          <w:color w:val="auto"/>
        </w:rPr>
        <w:t>6.4 净含量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_Toc22259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"_Toc3267" </w:instrText>
      </w:r>
      <w:r>
        <w:rPr>
          <w:rFonts w:hint="eastAsia" w:ascii="宋体" w:hAnsi="宋体" w:eastAsia="宋体" w:cs="宋体"/>
          <w:color w:val="auto"/>
        </w:rPr>
        <w:fldChar w:fldCharType="separate"/>
      </w:r>
      <w:r>
        <w:rPr>
          <w:rFonts w:hint="eastAsia" w:ascii="宋体" w:hAnsi="宋体" w:eastAsia="宋体" w:cs="宋体"/>
          <w:color w:val="auto"/>
        </w:rPr>
        <w:t>7 检验规则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_Toc3267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"_Toc5875" </w:instrText>
      </w:r>
      <w:r>
        <w:rPr>
          <w:rFonts w:hint="eastAsia" w:ascii="宋体" w:hAnsi="宋体" w:eastAsia="宋体" w:cs="宋体"/>
          <w:color w:val="auto"/>
        </w:rPr>
        <w:fldChar w:fldCharType="separate"/>
      </w:r>
      <w:r>
        <w:rPr>
          <w:rFonts w:hint="eastAsia" w:ascii="宋体" w:hAnsi="宋体" w:eastAsia="宋体" w:cs="宋体"/>
          <w:color w:val="auto"/>
        </w:rPr>
        <w:t>7.1 检验分类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_Toc5875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"_Toc20038" </w:instrText>
      </w:r>
      <w:r>
        <w:rPr>
          <w:rFonts w:hint="eastAsia" w:ascii="宋体" w:hAnsi="宋体" w:eastAsia="宋体" w:cs="宋体"/>
          <w:color w:val="auto"/>
        </w:rPr>
        <w:fldChar w:fldCharType="separate"/>
      </w:r>
      <w:r>
        <w:rPr>
          <w:rFonts w:hint="eastAsia" w:ascii="宋体" w:hAnsi="宋体" w:eastAsia="宋体" w:cs="宋体"/>
          <w:color w:val="auto"/>
        </w:rPr>
        <w:t>7.2 组批和抽样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_Toc20038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"_Toc8600" </w:instrText>
      </w:r>
      <w:r>
        <w:rPr>
          <w:rFonts w:hint="eastAsia" w:ascii="宋体" w:hAnsi="宋体" w:eastAsia="宋体" w:cs="宋体"/>
          <w:color w:val="auto"/>
        </w:rPr>
        <w:fldChar w:fldCharType="separate"/>
      </w:r>
      <w:r>
        <w:rPr>
          <w:rFonts w:hint="eastAsia" w:ascii="宋体" w:hAnsi="宋体" w:eastAsia="宋体" w:cs="宋体"/>
          <w:color w:val="auto"/>
        </w:rPr>
        <w:t>7.3 判定规则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_Toc8600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"_Toc2805" </w:instrText>
      </w:r>
      <w:r>
        <w:rPr>
          <w:rFonts w:hint="eastAsia" w:ascii="宋体" w:hAnsi="宋体" w:eastAsia="宋体" w:cs="宋体"/>
          <w:color w:val="auto"/>
        </w:rPr>
        <w:fldChar w:fldCharType="separate"/>
      </w:r>
      <w:r>
        <w:rPr>
          <w:rFonts w:hint="eastAsia" w:ascii="宋体" w:hAnsi="宋体" w:eastAsia="宋体" w:cs="宋体"/>
          <w:color w:val="auto"/>
        </w:rPr>
        <w:t>8 标志、标签、包装、运输和贮存</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_Toc2805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"_Toc30552" </w:instrText>
      </w:r>
      <w:r>
        <w:rPr>
          <w:rFonts w:hint="eastAsia" w:ascii="宋体" w:hAnsi="宋体" w:eastAsia="宋体" w:cs="宋体"/>
          <w:color w:val="auto"/>
        </w:rPr>
        <w:fldChar w:fldCharType="separate"/>
      </w:r>
      <w:r>
        <w:rPr>
          <w:rFonts w:hint="eastAsia" w:ascii="宋体" w:hAnsi="宋体" w:eastAsia="宋体" w:cs="宋体"/>
          <w:color w:val="auto"/>
        </w:rPr>
        <w:t>8.1 标志、 标签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_Toc30552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"_Toc367" </w:instrText>
      </w:r>
      <w:r>
        <w:rPr>
          <w:rFonts w:hint="eastAsia" w:ascii="宋体" w:hAnsi="宋体" w:eastAsia="宋体" w:cs="宋体"/>
          <w:color w:val="auto"/>
        </w:rPr>
        <w:fldChar w:fldCharType="separate"/>
      </w:r>
      <w:r>
        <w:rPr>
          <w:rFonts w:hint="eastAsia" w:ascii="宋体" w:hAnsi="宋体" w:eastAsia="宋体" w:cs="宋体"/>
          <w:color w:val="auto"/>
        </w:rPr>
        <w:t>8.2 包装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_Toc367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"_Toc23382" </w:instrText>
      </w:r>
      <w:r>
        <w:rPr>
          <w:rFonts w:hint="eastAsia" w:ascii="宋体" w:hAnsi="宋体" w:eastAsia="宋体" w:cs="宋体"/>
          <w:color w:val="auto"/>
        </w:rPr>
        <w:fldChar w:fldCharType="separate"/>
      </w:r>
      <w:r>
        <w:rPr>
          <w:rFonts w:hint="eastAsia" w:ascii="宋体" w:hAnsi="宋体" w:eastAsia="宋体" w:cs="宋体"/>
          <w:color w:val="auto"/>
        </w:rPr>
        <w:t>8.3 运输</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_Toc23382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0"/>
        <w:tabs>
          <w:tab w:val="right" w:leader="dot" w:pos="9070"/>
        </w:tabs>
        <w:rPr>
          <w:rFonts w:hint="eastAsia" w:ascii="宋体" w:hAnsi="宋体" w:eastAsia="宋体" w:cs="宋体"/>
          <w:color w:val="auto"/>
          <w:highlight w:val="yellow"/>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"_Toc29513" </w:instrText>
      </w:r>
      <w:r>
        <w:rPr>
          <w:rFonts w:hint="eastAsia" w:ascii="宋体" w:hAnsi="宋体" w:eastAsia="宋体" w:cs="宋体"/>
          <w:color w:val="auto"/>
        </w:rPr>
        <w:fldChar w:fldCharType="separate"/>
      </w:r>
      <w:r>
        <w:rPr>
          <w:rFonts w:hint="eastAsia" w:ascii="宋体" w:hAnsi="宋体" w:eastAsia="宋体" w:cs="宋体"/>
          <w:color w:val="auto"/>
        </w:rPr>
        <w:t>8.4 贮存</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_Toc29513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right" w:leader="dot" w:pos="9070"/>
          <w:tab w:val="clear" w:pos="567"/>
          <w:tab w:val="clear" w:pos="840"/>
          <w:tab w:val="clear" w:pos="9060"/>
        </w:tabs>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"_Toc2805" </w:instrText>
      </w:r>
      <w:r>
        <w:rPr>
          <w:rFonts w:hint="eastAsia" w:ascii="宋体" w:hAnsi="宋体" w:eastAsia="宋体" w:cs="宋体"/>
          <w:color w:val="auto"/>
        </w:rPr>
        <w:fldChar w:fldCharType="separate"/>
      </w:r>
      <w:r>
        <w:rPr>
          <w:rFonts w:hint="eastAsia" w:ascii="宋体" w:hAnsi="宋体" w:eastAsia="宋体" w:cs="宋体"/>
          <w:color w:val="auto"/>
        </w:rPr>
        <w:t>参考文献</w:t>
      </w:r>
      <w:r>
        <w:rPr>
          <w:rFonts w:hint="eastAsia" w:ascii="宋体" w:hAnsi="宋体" w:eastAsia="宋体" w:cs="宋体"/>
          <w:color w:val="auto"/>
        </w:rPr>
        <w:tab/>
      </w:r>
      <w:r>
        <w:rPr>
          <w:rFonts w:hint="eastAsia" w:ascii="宋体" w:hAnsi="宋体" w:eastAsia="宋体" w:cs="宋体"/>
          <w:color w:val="auto"/>
        </w:rPr>
        <w:t>7</w:t>
      </w:r>
      <w:r>
        <w:rPr>
          <w:rFonts w:hint="eastAsia" w:ascii="宋体" w:hAnsi="宋体" w:eastAsia="宋体" w:cs="宋体"/>
          <w:color w:val="auto"/>
        </w:rPr>
        <w:fldChar w:fldCharType="end"/>
      </w:r>
    </w:p>
    <w:p>
      <w:pPr>
        <w:rPr>
          <w:color w:val="auto"/>
        </w:rPr>
      </w:pPr>
    </w:p>
    <w:p>
      <w:pPr>
        <w:pStyle w:val="52"/>
        <w:tabs>
          <w:tab w:val="right" w:leader="dot" w:pos="9070"/>
        </w:tabs>
        <w:rPr>
          <w:rFonts w:ascii="Times New Roman" w:hAnsi="Times New Roman"/>
          <w:color w:val="auto"/>
          <w:highlight w:val="yellow"/>
        </w:rPr>
        <w:sectPr>
          <w:footerReference r:id="rId10" w:type="first"/>
          <w:headerReference r:id="rId6" w:type="default"/>
          <w:footerReference r:id="rId8" w:type="default"/>
          <w:headerReference r:id="rId7" w:type="even"/>
          <w:footerReference r:id="rId9" w:type="even"/>
          <w:pgSz w:w="11906" w:h="16838"/>
          <w:pgMar w:top="1418" w:right="1418" w:bottom="1134" w:left="1418" w:header="1417" w:footer="1134" w:gutter="0"/>
          <w:pgNumType w:fmt="upperRoman" w:start="1"/>
          <w:cols w:space="425" w:num="1"/>
          <w:docGrid w:type="lines" w:linePitch="312" w:charSpace="0"/>
        </w:sectPr>
      </w:pPr>
      <w:r>
        <w:rPr>
          <w:rFonts w:hint="eastAsia" w:ascii="宋体" w:hAnsi="宋体" w:cs="宋体"/>
          <w:color w:val="auto"/>
          <w:highlight w:val="yellow"/>
        </w:rPr>
        <w:fldChar w:fldCharType="end"/>
      </w:r>
    </w:p>
    <w:p>
      <w:pPr>
        <w:pStyle w:val="52"/>
        <w:rPr>
          <w:color w:val="auto"/>
        </w:rPr>
      </w:pPr>
      <w:bookmarkStart w:id="24" w:name="_Toc16847"/>
      <w:r>
        <w:rPr>
          <w:rFonts w:hint="eastAsia"/>
          <w:color w:val="auto"/>
        </w:rPr>
        <w:t>前    言</w:t>
      </w:r>
      <w:bookmarkEnd w:id="24"/>
    </w:p>
    <w:p>
      <w:pPr>
        <w:pStyle w:val="50"/>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本文件按照GB/T 1.1－2020《标准化工作导则  第1部分：标准化文件的结构和起草规则》的规定起草。</w:t>
      </w:r>
    </w:p>
    <w:p>
      <w:pPr>
        <w:pStyle w:val="50"/>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请注意本文件中的某些内容可能涉及专利。本文件的发布机构不承担识别专利的责任。</w:t>
      </w:r>
    </w:p>
    <w:p>
      <w:pPr>
        <w:pStyle w:val="50"/>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本文件由中国食品药品企业质量安全促进会提出并归口。</w:t>
      </w:r>
    </w:p>
    <w:p>
      <w:pPr>
        <w:pStyle w:val="50"/>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本文件起草单位：。</w:t>
      </w:r>
    </w:p>
    <w:p>
      <w:pPr>
        <w:pStyle w:val="50"/>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本文件主要起草人：。</w:t>
      </w:r>
    </w:p>
    <w:p>
      <w:pPr>
        <w:tabs>
          <w:tab w:val="left" w:pos="851"/>
        </w:tabs>
        <w:rPr>
          <w:color w:val="auto"/>
        </w:rPr>
        <w:sectPr>
          <w:headerReference r:id="rId11" w:type="first"/>
          <w:footerReference r:id="rId14" w:type="first"/>
          <w:footerReference r:id="rId12" w:type="default"/>
          <w:footerReference r:id="rId13" w:type="even"/>
          <w:pgSz w:w="11906" w:h="16838"/>
          <w:pgMar w:top="1418" w:right="1418" w:bottom="1134" w:left="1418" w:header="1417" w:footer="1134" w:gutter="0"/>
          <w:pgNumType w:fmt="upperRoman"/>
          <w:cols w:space="425" w:num="1"/>
          <w:titlePg/>
          <w:docGrid w:type="lines" w:linePitch="312" w:charSpace="0"/>
        </w:sectPr>
      </w:pPr>
      <w:r>
        <w:rPr>
          <w:color w:val="auto"/>
        </w:rPr>
        <w:tab/>
      </w:r>
    </w:p>
    <w:p>
      <w:pPr>
        <w:pStyle w:val="52"/>
        <w:spacing w:before="0" w:after="0"/>
        <w:rPr>
          <w:rFonts w:ascii="黑体" w:hAnsi="黑体" w:cs="黑体"/>
          <w:color w:val="auto"/>
          <w:sz w:val="32"/>
          <w:szCs w:val="32"/>
        </w:rPr>
      </w:pPr>
      <w:bookmarkStart w:id="25" w:name="_Toc12"/>
      <w:bookmarkStart w:id="26" w:name="_Toc9579"/>
      <w:r>
        <w:rPr>
          <w:rFonts w:hint="eastAsia" w:ascii="黑体" w:hAnsi="黑体" w:cs="黑体"/>
          <w:color w:val="auto"/>
          <w:sz w:val="32"/>
          <w:szCs w:val="32"/>
        </w:rPr>
        <w:t>海洋动物肽</w:t>
      </w:r>
      <w:bookmarkEnd w:id="25"/>
      <w:r>
        <w:rPr>
          <w:rFonts w:hint="eastAsia" w:ascii="黑体" w:hAnsi="黑体" w:cs="黑体"/>
          <w:color w:val="auto"/>
          <w:sz w:val="32"/>
          <w:szCs w:val="32"/>
        </w:rPr>
        <w:t>产品通用技术规范</w:t>
      </w:r>
      <w:bookmarkEnd w:id="26"/>
    </w:p>
    <w:p>
      <w:pPr>
        <w:pStyle w:val="47"/>
        <w:rPr>
          <w:color w:val="auto"/>
        </w:rPr>
      </w:pPr>
      <w:bookmarkStart w:id="27" w:name="_Toc28610"/>
      <w:r>
        <w:rPr>
          <w:rFonts w:hint="eastAsia"/>
          <w:color w:val="auto"/>
        </w:rPr>
        <w:t>范围</w:t>
      </w:r>
      <w:bookmarkEnd w:id="27"/>
    </w:p>
    <w:p>
      <w:pPr>
        <w:pStyle w:val="50"/>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rPr>
      </w:pPr>
      <w:r>
        <w:rPr>
          <w:rFonts w:hint="eastAsia" w:ascii="宋体" w:hAnsi="宋体" w:eastAsia="宋体" w:cs="宋体"/>
          <w:color w:val="auto"/>
        </w:rPr>
        <w:t xml:space="preserve">本文件规定了海洋动物肽产品的原辅料要求、生产要求和感官、理化、卫生等技术要求，描述了相应的测试方法，规定了检验规则、标志、标签、包装、运输和贮存的内容，并给出了便于技术规定的分类信息。 </w:t>
      </w:r>
    </w:p>
    <w:p>
      <w:pPr>
        <w:pStyle w:val="50"/>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color w:val="auto"/>
        </w:rPr>
      </w:pPr>
      <w:r>
        <w:rPr>
          <w:rFonts w:hint="eastAsia" w:ascii="宋体" w:hAnsi="宋体" w:eastAsia="宋体" w:cs="宋体"/>
          <w:color w:val="auto"/>
          <w:highlight w:val="none"/>
        </w:rPr>
        <w:t>本文件适用于</w:t>
      </w:r>
      <w:r>
        <w:rPr>
          <w:rFonts w:hint="eastAsia" w:ascii="宋体" w:hAnsi="宋体" w:eastAsia="宋体" w:cs="宋体"/>
          <w:color w:val="auto"/>
          <w:kern w:val="2"/>
          <w:sz w:val="21"/>
          <w:szCs w:val="21"/>
          <w:highlight w:val="none"/>
          <w:lang w:val="en-US" w:eastAsia="zh-CN" w:bidi="ar-SA"/>
        </w:rPr>
        <w:t>以海洋动物为原料，用酶解或其他方法生产的，相对分子质量低于10 000u的肽为主要成分的</w:t>
      </w:r>
      <w:r>
        <w:rPr>
          <w:rFonts w:hint="eastAsia" w:ascii="宋体" w:hAnsi="宋体" w:eastAsia="宋体" w:cs="宋体"/>
          <w:color w:val="auto"/>
          <w:highlight w:val="none"/>
          <w:shd w:val="clear" w:color="auto" w:fill="FFFFFF"/>
        </w:rPr>
        <w:t>海洋动物肽</w:t>
      </w:r>
      <w:r>
        <w:rPr>
          <w:rFonts w:hint="eastAsia" w:ascii="宋体" w:hAnsi="宋体" w:eastAsia="宋体" w:cs="宋体"/>
          <w:color w:val="auto"/>
          <w:highlight w:val="none"/>
          <w:shd w:val="clear" w:color="auto" w:fill="FFFFFF"/>
          <w:lang w:val="en-US" w:eastAsia="zh-CN"/>
        </w:rPr>
        <w:t>产品</w:t>
      </w:r>
      <w:r>
        <w:rPr>
          <w:rFonts w:hint="eastAsia" w:ascii="宋体" w:hAnsi="宋体" w:eastAsia="宋体" w:cs="宋体"/>
          <w:color w:val="auto"/>
          <w:highlight w:val="none"/>
        </w:rPr>
        <w:t>（以下简称“产品”）的生产、</w:t>
      </w:r>
      <w:r>
        <w:rPr>
          <w:rFonts w:hint="eastAsia" w:ascii="宋体" w:hAnsi="宋体" w:eastAsia="宋体" w:cs="宋体"/>
          <w:color w:val="auto"/>
        </w:rPr>
        <w:t>检验和销售。</w:t>
      </w:r>
    </w:p>
    <w:p>
      <w:pPr>
        <w:pStyle w:val="47"/>
        <w:rPr>
          <w:rFonts w:hint="eastAsia"/>
          <w:color w:val="auto"/>
        </w:rPr>
      </w:pPr>
      <w:bookmarkStart w:id="28" w:name="_Toc5481"/>
      <w:r>
        <w:rPr>
          <w:rFonts w:hint="eastAsia"/>
          <w:color w:val="auto"/>
        </w:rPr>
        <w:t>规范性引用文件</w:t>
      </w:r>
      <w:bookmarkEnd w:id="28"/>
    </w:p>
    <w:p>
      <w:pPr>
        <w:pStyle w:val="50"/>
        <w:rPr>
          <w:rFonts w:hint="eastAsia" w:ascii="宋体" w:hAnsi="宋体" w:eastAsia="宋体" w:cs="宋体"/>
          <w:color w:val="auto"/>
        </w:rPr>
      </w:pPr>
      <w:bookmarkStart w:id="29" w:name="_Toc11478"/>
      <w:r>
        <w:rPr>
          <w:rFonts w:hint="eastAsia" w:ascii="宋体" w:hAnsi="宋体" w:eastAsia="宋体" w:cs="宋体"/>
          <w:color w:val="auto"/>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29"/>
    </w:p>
    <w:p>
      <w:pPr>
        <w:pStyle w:val="50"/>
        <w:rPr>
          <w:rFonts w:hint="eastAsia" w:ascii="宋体" w:hAnsi="宋体" w:eastAsia="宋体" w:cs="宋体"/>
          <w:color w:val="auto"/>
          <w:lang w:val="en-US"/>
        </w:rPr>
      </w:pPr>
      <w:r>
        <w:rPr>
          <w:rFonts w:hint="eastAsia" w:ascii="宋体" w:hAnsi="宋体" w:eastAsia="宋体" w:cs="宋体"/>
          <w:color w:val="auto"/>
          <w:lang w:val="en-US"/>
        </w:rPr>
        <w:t xml:space="preserve">GB/T 191 </w:t>
      </w:r>
      <w:r>
        <w:rPr>
          <w:rFonts w:hint="eastAsia" w:ascii="宋体" w:hAnsi="宋体" w:cs="宋体"/>
          <w:color w:val="auto"/>
          <w:lang w:val="en-US" w:eastAsia="zh-CN"/>
        </w:rPr>
        <w:t xml:space="preserve"> </w:t>
      </w:r>
      <w:r>
        <w:rPr>
          <w:rFonts w:hint="eastAsia" w:ascii="宋体" w:hAnsi="宋体" w:eastAsia="宋体" w:cs="宋体"/>
          <w:color w:val="auto"/>
          <w:lang w:val="en-US"/>
        </w:rPr>
        <w:t>包装储运图示标志</w:t>
      </w:r>
    </w:p>
    <w:p>
      <w:pPr>
        <w:pStyle w:val="50"/>
        <w:rPr>
          <w:rFonts w:hint="eastAsia" w:ascii="宋体" w:hAnsi="宋体" w:eastAsia="宋体" w:cs="宋体"/>
          <w:color w:val="auto"/>
          <w:lang w:val="en-US"/>
        </w:rPr>
      </w:pPr>
      <w:r>
        <w:rPr>
          <w:rFonts w:hint="eastAsia" w:ascii="宋体" w:hAnsi="宋体" w:eastAsia="宋体" w:cs="宋体"/>
          <w:color w:val="auto"/>
          <w:lang w:val="en-US"/>
        </w:rPr>
        <w:t>GB 2733 食品安全国家标准 鲜、冻动物性水产品</w:t>
      </w:r>
    </w:p>
    <w:p>
      <w:pPr>
        <w:pStyle w:val="50"/>
        <w:rPr>
          <w:rFonts w:hint="eastAsia" w:ascii="宋体" w:hAnsi="宋体" w:eastAsia="宋体" w:cs="宋体"/>
          <w:color w:val="auto"/>
          <w:lang w:val="en-US"/>
        </w:rPr>
      </w:pPr>
      <w:r>
        <w:rPr>
          <w:rFonts w:hint="eastAsia" w:ascii="宋体" w:hAnsi="宋体" w:eastAsia="宋体" w:cs="宋体"/>
          <w:color w:val="auto"/>
          <w:lang w:val="en-US"/>
        </w:rPr>
        <w:t>GB 2760 食品安全国家标准  食品添加剂使用标准</w:t>
      </w:r>
    </w:p>
    <w:p>
      <w:pPr>
        <w:pStyle w:val="50"/>
        <w:rPr>
          <w:rFonts w:hint="eastAsia" w:ascii="宋体" w:hAnsi="宋体" w:eastAsia="宋体" w:cs="宋体"/>
          <w:color w:val="auto"/>
          <w:lang w:val="en-US"/>
        </w:rPr>
      </w:pPr>
      <w:r>
        <w:rPr>
          <w:rFonts w:hint="eastAsia" w:ascii="宋体" w:hAnsi="宋体" w:eastAsia="宋体" w:cs="宋体"/>
          <w:color w:val="auto"/>
          <w:lang w:val="en-US"/>
        </w:rPr>
        <w:t>GB 5009.3</w:t>
      </w:r>
      <w:r>
        <w:rPr>
          <w:rFonts w:hint="eastAsia" w:ascii="宋体" w:hAnsi="宋体" w:cs="宋体"/>
          <w:color w:val="auto"/>
          <w:lang w:val="en-US" w:eastAsia="zh-CN"/>
        </w:rPr>
        <w:t xml:space="preserve"> </w:t>
      </w:r>
      <w:r>
        <w:rPr>
          <w:rFonts w:hint="eastAsia" w:ascii="宋体" w:hAnsi="宋体" w:eastAsia="宋体" w:cs="宋体"/>
          <w:color w:val="auto"/>
          <w:lang w:val="en-US"/>
        </w:rPr>
        <w:t>食品安全国家标准  食品中</w:t>
      </w:r>
      <w:r>
        <w:rPr>
          <w:rFonts w:hint="eastAsia" w:ascii="宋体" w:hAnsi="宋体" w:eastAsia="宋体" w:cs="宋体"/>
          <w:color w:val="auto"/>
          <w:lang w:val="en-US" w:eastAsia="zh-CN"/>
        </w:rPr>
        <w:t>水分</w:t>
      </w:r>
      <w:r>
        <w:rPr>
          <w:rFonts w:hint="eastAsia" w:ascii="宋体" w:hAnsi="宋体" w:eastAsia="宋体" w:cs="宋体"/>
          <w:color w:val="auto"/>
          <w:lang w:val="en-US"/>
        </w:rPr>
        <w:t>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5009.4 食品安全国家标准  食品中灰分的测定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5009.5 食品安全国家标准 食品中蛋白质的测定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5009.11 食品安全国家标准 食品中总砷及无机砷的测定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5009.12 食品安全国家标准 食品中铅的测定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5009.15 食品安全国家标准 食品中镉的测定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5009.17 食品安全国家标准 食品中总汞及有机汞的测定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5009.26 食品安全国家标准 食品中N-亚硝胺类化合物的测定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5009.123 食品安全国家标准 食品中铬的测定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5009.124 食品安全国家标准 食品中氨基酸的测定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5009.190 食品安全国家标准 食品中指示性多氯联苯含量的测定</w:t>
      </w:r>
    </w:p>
    <w:p>
      <w:pPr>
        <w:pStyle w:val="50"/>
        <w:rPr>
          <w:rFonts w:hint="eastAsia" w:ascii="宋体" w:hAnsi="宋体" w:eastAsia="宋体" w:cs="宋体"/>
          <w:color w:val="auto"/>
          <w:lang w:val="en-US"/>
        </w:rPr>
      </w:pPr>
      <w:r>
        <w:rPr>
          <w:rFonts w:hint="eastAsia" w:ascii="宋体" w:hAnsi="宋体" w:eastAsia="宋体" w:cs="宋体"/>
          <w:color w:val="auto"/>
          <w:lang w:val="en-US"/>
        </w:rPr>
        <w:t>GB 7101 食品安全国家标准 饮料</w:t>
      </w:r>
    </w:p>
    <w:p>
      <w:pPr>
        <w:pStyle w:val="50"/>
        <w:rPr>
          <w:rFonts w:hint="eastAsia" w:ascii="宋体" w:hAnsi="宋体" w:eastAsia="宋体" w:cs="宋体"/>
          <w:color w:val="auto"/>
          <w:lang w:val="en-US"/>
        </w:rPr>
      </w:pPr>
      <w:r>
        <w:rPr>
          <w:rFonts w:hint="eastAsia" w:ascii="宋体" w:hAnsi="宋体" w:eastAsia="宋体" w:cs="宋体"/>
          <w:color w:val="auto"/>
          <w:lang w:val="en-US"/>
        </w:rPr>
        <w:t>GB 7718 食品安全国家标准 预包装食品标签通则</w:t>
      </w:r>
    </w:p>
    <w:p>
      <w:pPr>
        <w:pStyle w:val="50"/>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GB10136 </w:t>
      </w:r>
      <w:r>
        <w:rPr>
          <w:rFonts w:hint="eastAsia" w:ascii="宋体" w:hAnsi="宋体" w:eastAsia="宋体" w:cs="宋体"/>
          <w:color w:val="auto"/>
          <w:lang w:val="en-US"/>
        </w:rPr>
        <w:t>食品安全国家标准 动物性水产制品</w:t>
      </w:r>
    </w:p>
    <w:p>
      <w:pPr>
        <w:pStyle w:val="50"/>
        <w:rPr>
          <w:rFonts w:hint="eastAsia" w:ascii="宋体" w:hAnsi="宋体" w:eastAsia="宋体" w:cs="宋体"/>
          <w:color w:val="auto"/>
          <w:lang w:val="en-US"/>
        </w:rPr>
      </w:pPr>
      <w:r>
        <w:rPr>
          <w:rFonts w:hint="eastAsia" w:ascii="宋体" w:hAnsi="宋体" w:eastAsia="宋体" w:cs="宋体"/>
          <w:color w:val="auto"/>
          <w:lang w:val="en-US"/>
        </w:rPr>
        <w:t>GB 14880 食品安全国家标准  食品营养强化剂使用标准</w:t>
      </w:r>
    </w:p>
    <w:p>
      <w:pPr>
        <w:pStyle w:val="50"/>
        <w:rPr>
          <w:rFonts w:hint="eastAsia" w:ascii="宋体" w:hAnsi="宋体" w:eastAsia="宋体" w:cs="宋体"/>
          <w:color w:val="auto"/>
          <w:lang w:val="en-US"/>
        </w:rPr>
      </w:pPr>
      <w:r>
        <w:rPr>
          <w:rFonts w:hint="eastAsia" w:ascii="宋体" w:hAnsi="宋体" w:eastAsia="宋体" w:cs="宋体"/>
          <w:color w:val="auto"/>
          <w:lang w:val="en-US"/>
        </w:rPr>
        <w:t>GB 14881 食品安全国家标准  食品生产通用卫生规范</w:t>
      </w:r>
    </w:p>
    <w:p>
      <w:pPr>
        <w:pStyle w:val="50"/>
        <w:rPr>
          <w:rFonts w:hint="eastAsia" w:ascii="宋体" w:hAnsi="宋体" w:eastAsia="宋体" w:cs="宋体"/>
          <w:color w:val="auto"/>
          <w:lang w:val="en-US"/>
        </w:rPr>
      </w:pPr>
      <w:r>
        <w:rPr>
          <w:rFonts w:hint="eastAsia" w:ascii="宋体" w:hAnsi="宋体" w:eastAsia="宋体" w:cs="宋体"/>
          <w:color w:val="auto"/>
          <w:lang w:val="en-US"/>
        </w:rPr>
        <w:t>GB/T 22729 海洋鱼低聚肽粉</w:t>
      </w:r>
    </w:p>
    <w:p>
      <w:pPr>
        <w:pStyle w:val="50"/>
        <w:rPr>
          <w:rFonts w:hint="eastAsia" w:ascii="宋体" w:hAnsi="宋体" w:eastAsia="宋体" w:cs="宋体"/>
          <w:color w:val="auto"/>
          <w:lang w:val="en-US"/>
        </w:rPr>
      </w:pPr>
      <w:r>
        <w:rPr>
          <w:rFonts w:hint="eastAsia" w:ascii="宋体" w:hAnsi="宋体" w:eastAsia="宋体" w:cs="宋体"/>
          <w:color w:val="auto"/>
          <w:lang w:val="en-US"/>
        </w:rPr>
        <w:t>GB 28050 食品安全国家标准 预包装食品营养标签通则</w:t>
      </w:r>
    </w:p>
    <w:p>
      <w:pPr>
        <w:pStyle w:val="50"/>
        <w:rPr>
          <w:rFonts w:hint="eastAsia" w:ascii="宋体" w:hAnsi="宋体" w:eastAsia="宋体" w:cs="宋体"/>
          <w:color w:val="auto"/>
          <w:lang w:val="en-US"/>
        </w:rPr>
      </w:pPr>
      <w:r>
        <w:rPr>
          <w:rFonts w:hint="eastAsia" w:ascii="宋体" w:hAnsi="宋体" w:eastAsia="宋体" w:cs="宋体"/>
          <w:color w:val="auto"/>
          <w:lang w:val="en-US"/>
        </w:rPr>
        <w:t>GB 31645 食品安全国家标准 胶原蛋白肽</w:t>
      </w:r>
    </w:p>
    <w:p>
      <w:pPr>
        <w:pStyle w:val="50"/>
        <w:rPr>
          <w:rFonts w:hint="eastAsia" w:ascii="宋体" w:hAnsi="宋体" w:eastAsia="宋体" w:cs="宋体"/>
          <w:color w:val="auto"/>
          <w:lang w:val="en-US"/>
        </w:rPr>
      </w:pPr>
      <w:r>
        <w:rPr>
          <w:rFonts w:hint="eastAsia" w:ascii="宋体" w:hAnsi="宋体" w:eastAsia="宋体" w:cs="宋体"/>
          <w:color w:val="auto"/>
          <w:lang w:val="en-US"/>
        </w:rPr>
        <w:t>JJF 1070 定量包装商品净含量计量检验规则</w:t>
      </w:r>
    </w:p>
    <w:p>
      <w:pPr>
        <w:pStyle w:val="50"/>
        <w:rPr>
          <w:rFonts w:hint="eastAsia" w:ascii="宋体" w:hAnsi="宋体" w:eastAsia="宋体" w:cs="宋体"/>
          <w:color w:val="auto"/>
          <w:lang w:val="en-US"/>
        </w:rPr>
      </w:pPr>
      <w:r>
        <w:rPr>
          <w:rFonts w:hint="eastAsia" w:ascii="宋体" w:hAnsi="宋体" w:eastAsia="宋体" w:cs="宋体"/>
          <w:color w:val="auto"/>
          <w:lang w:val="en-US"/>
        </w:rPr>
        <w:t>《定量包装商品计量监督管理办法》（国家质量监督检验检疫总局令〔2005〕第75号）</w:t>
      </w:r>
    </w:p>
    <w:p>
      <w:pPr>
        <w:pStyle w:val="47"/>
        <w:rPr>
          <w:rFonts w:hint="eastAsia"/>
          <w:color w:val="auto"/>
        </w:rPr>
      </w:pPr>
      <w:bookmarkStart w:id="30" w:name="_Toc10714"/>
      <w:r>
        <w:rPr>
          <w:rFonts w:hint="eastAsia"/>
          <w:color w:val="auto"/>
        </w:rPr>
        <w:t>术语和定义</w:t>
      </w:r>
      <w:bookmarkEnd w:id="30"/>
    </w:p>
    <w:p>
      <w:pPr>
        <w:pStyle w:val="50"/>
        <w:rPr>
          <w:rFonts w:hint="eastAsia" w:ascii="宋体" w:hAnsi="宋体" w:eastAsia="宋体" w:cs="宋体"/>
          <w:color w:val="auto"/>
        </w:rPr>
      </w:pPr>
      <w:r>
        <w:rPr>
          <w:rFonts w:hint="eastAsia" w:ascii="宋体" w:hAnsi="宋体" w:eastAsia="宋体" w:cs="宋体"/>
          <w:color w:val="auto"/>
        </w:rPr>
        <w:t>下列术语和定义适用于本文件。</w:t>
      </w:r>
    </w:p>
    <w:p>
      <w:pPr>
        <w:pStyle w:val="62"/>
        <w:keepNext w:val="0"/>
        <w:keepLines w:val="0"/>
        <w:pageBreakBefore w:val="0"/>
        <w:widowControl/>
        <w:kinsoku/>
        <w:wordWrap/>
        <w:overflowPunct/>
        <w:topLinePunct w:val="0"/>
        <w:autoSpaceDE/>
        <w:autoSpaceDN/>
        <w:bidi w:val="0"/>
        <w:adjustRightInd/>
        <w:snapToGrid/>
        <w:textAlignment w:val="auto"/>
        <w:rPr>
          <w:color w:val="auto"/>
        </w:rPr>
      </w:pPr>
      <w:bookmarkStart w:id="31" w:name="_Toc6727"/>
      <w:bookmarkEnd w:id="31"/>
      <w:bookmarkStart w:id="32" w:name="_Toc1651886"/>
      <w:bookmarkEnd w:id="32"/>
      <w:bookmarkStart w:id="33" w:name="_Toc29386"/>
      <w:bookmarkEnd w:id="33"/>
      <w:bookmarkStart w:id="34" w:name="_Toc10330"/>
      <w:bookmarkEnd w:id="34"/>
      <w:bookmarkStart w:id="35" w:name="_Toc24655"/>
      <w:bookmarkEnd w:id="35"/>
      <w:bookmarkStart w:id="36" w:name="_Toc942023"/>
      <w:bookmarkEnd w:id="36"/>
      <w:bookmarkStart w:id="37" w:name="_Toc30492"/>
      <w:bookmarkEnd w:id="37"/>
      <w:bookmarkStart w:id="38" w:name="_Toc2068"/>
      <w:bookmarkEnd w:id="38"/>
      <w:bookmarkStart w:id="39" w:name="_Toc1093"/>
      <w:bookmarkEnd w:id="39"/>
      <w:bookmarkStart w:id="40" w:name="_Toc25245"/>
      <w:bookmarkEnd w:id="40"/>
      <w:bookmarkStart w:id="41" w:name="_Toc14104"/>
      <w:bookmarkEnd w:id="41"/>
      <w:bookmarkStart w:id="42" w:name="_Toc942352"/>
      <w:bookmarkEnd w:id="42"/>
      <w:bookmarkStart w:id="43" w:name="_Toc25094"/>
      <w:bookmarkEnd w:id="43"/>
      <w:bookmarkStart w:id="44" w:name="_Toc27026"/>
      <w:bookmarkEnd w:id="44"/>
      <w:bookmarkStart w:id="45" w:name="_Toc28819"/>
      <w:bookmarkEnd w:id="45"/>
      <w:bookmarkStart w:id="46" w:name="_Toc217"/>
      <w:bookmarkEnd w:id="46"/>
      <w:bookmarkStart w:id="47" w:name="_Toc2868"/>
      <w:bookmarkEnd w:id="47"/>
      <w:bookmarkStart w:id="48" w:name="_Toc39659930"/>
      <w:bookmarkEnd w:id="48"/>
      <w:bookmarkStart w:id="49" w:name="_Toc3362"/>
      <w:bookmarkEnd w:id="49"/>
      <w:bookmarkStart w:id="50" w:name="_Toc30226"/>
      <w:bookmarkEnd w:id="50"/>
      <w:bookmarkStart w:id="51" w:name="_Toc6424"/>
      <w:bookmarkEnd w:id="51"/>
    </w:p>
    <w:p>
      <w:pPr>
        <w:widowControl/>
        <w:ind w:firstLine="420" w:firstLineChars="200"/>
        <w:jc w:val="left"/>
        <w:rPr>
          <w:rFonts w:hint="eastAsia" w:ascii="黑体" w:hAnsi="黑体" w:eastAsia="黑体" w:cs="黑体"/>
          <w:b/>
          <w:bCs/>
          <w:color w:val="auto"/>
        </w:rPr>
      </w:pPr>
      <w:r>
        <w:rPr>
          <w:rFonts w:hint="eastAsia" w:ascii="黑体" w:hAnsi="黑体" w:eastAsia="黑体" w:cs="黑体"/>
          <w:color w:val="auto"/>
          <w:kern w:val="0"/>
          <w:szCs w:val="21"/>
          <w:lang w:bidi="ar"/>
        </w:rPr>
        <w:t>海洋动物</w:t>
      </w:r>
      <w:r>
        <w:rPr>
          <w:rFonts w:hint="eastAsia" w:ascii="黑体" w:hAnsi="黑体" w:eastAsia="黑体" w:cs="黑体"/>
          <w:color w:val="auto"/>
          <w:szCs w:val="21"/>
          <w:shd w:val="clear" w:color="auto" w:fill="FFFFFF"/>
        </w:rPr>
        <w:t>肽</w:t>
      </w:r>
      <w:r>
        <w:rPr>
          <w:rFonts w:hint="eastAsia" w:ascii="黑体" w:hAnsi="黑体" w:eastAsia="黑体" w:cs="黑体"/>
          <w:color w:val="auto"/>
          <w:szCs w:val="21"/>
          <w:shd w:val="clear" w:color="auto" w:fill="FFFFFF"/>
          <w:lang w:val="en-US" w:eastAsia="zh-CN"/>
        </w:rPr>
        <w:t xml:space="preserve"> </w:t>
      </w:r>
      <w:r>
        <w:rPr>
          <w:rFonts w:hint="eastAsia" w:ascii="黑体" w:hAnsi="黑体" w:eastAsia="黑体" w:cs="黑体"/>
          <w:b/>
          <w:bCs/>
          <w:color w:val="auto"/>
          <w:kern w:val="0"/>
          <w:szCs w:val="21"/>
          <w:lang w:bidi="ar"/>
        </w:rPr>
        <w:t>marine animal peptides</w:t>
      </w:r>
    </w:p>
    <w:p>
      <w:pPr>
        <w:widowControl/>
        <w:ind w:firstLine="420" w:firstLineChars="200"/>
        <w:rPr>
          <w:rFonts w:hint="eastAsia" w:ascii="宋体" w:hAnsi="宋体" w:eastAsia="宋体" w:cs="宋体"/>
          <w:color w:val="auto"/>
          <w:kern w:val="2"/>
          <w:sz w:val="21"/>
          <w:szCs w:val="21"/>
          <w:lang w:val="en-US" w:eastAsia="zh-CN" w:bidi="ar-SA"/>
        </w:rPr>
      </w:pPr>
      <w:bookmarkStart w:id="52" w:name="_Toc5238"/>
      <w:bookmarkEnd w:id="52"/>
      <w:bookmarkStart w:id="53" w:name="_Toc39659931"/>
      <w:bookmarkEnd w:id="53"/>
      <w:bookmarkStart w:id="54" w:name="_Toc31721"/>
      <w:bookmarkEnd w:id="54"/>
      <w:r>
        <w:rPr>
          <w:rFonts w:hint="eastAsia" w:ascii="宋体" w:hAnsi="宋体" w:eastAsia="宋体" w:cs="宋体"/>
          <w:color w:val="auto"/>
          <w:kern w:val="2"/>
          <w:sz w:val="21"/>
          <w:szCs w:val="21"/>
          <w:lang w:val="en-US" w:eastAsia="zh-CN" w:bidi="ar-SA"/>
        </w:rPr>
        <w:t>以海洋动物为原料，用酶解或其他方法生产的，相对分子质量低于10 000u的肽为主要成分的产品。</w:t>
      </w:r>
    </w:p>
    <w:p>
      <w:pPr>
        <w:pStyle w:val="47"/>
        <w:rPr>
          <w:rFonts w:hint="eastAsia"/>
          <w:color w:val="auto"/>
        </w:rPr>
      </w:pPr>
      <w:bookmarkStart w:id="55" w:name="_Toc13339"/>
      <w:bookmarkEnd w:id="55"/>
      <w:bookmarkStart w:id="56" w:name="_Toc4615"/>
      <w:bookmarkEnd w:id="56"/>
      <w:bookmarkStart w:id="57" w:name="_Toc2604"/>
      <w:bookmarkEnd w:id="57"/>
      <w:bookmarkStart w:id="58" w:name="_Toc21981"/>
      <w:bookmarkEnd w:id="58"/>
      <w:bookmarkStart w:id="59" w:name="_Toc1593"/>
      <w:bookmarkEnd w:id="59"/>
      <w:bookmarkStart w:id="60" w:name="_Toc4911"/>
      <w:bookmarkEnd w:id="60"/>
      <w:bookmarkStart w:id="61" w:name="_Toc29061"/>
      <w:bookmarkEnd w:id="61"/>
      <w:bookmarkStart w:id="62" w:name="_Toc7216"/>
      <w:bookmarkEnd w:id="62"/>
      <w:bookmarkStart w:id="63" w:name="_Toc2037"/>
      <w:r>
        <w:rPr>
          <w:rFonts w:hint="eastAsia"/>
          <w:color w:val="auto"/>
        </w:rPr>
        <w:t>产品分类</w:t>
      </w:r>
      <w:bookmarkEnd w:id="63"/>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64" w:name="_Toc24063"/>
      <w:r>
        <w:rPr>
          <w:rFonts w:hint="eastAsia" w:ascii="黑体" w:hAnsi="黑体" w:eastAsia="黑体" w:cs="黑体"/>
          <w:color w:val="auto"/>
          <w:kern w:val="2"/>
          <w:szCs w:val="22"/>
        </w:rPr>
        <w:t>按</w:t>
      </w:r>
      <w:r>
        <w:rPr>
          <w:rFonts w:hint="eastAsia" w:ascii="黑体" w:hAnsi="黑体" w:eastAsia="黑体" w:cs="黑体"/>
          <w:color w:val="auto"/>
          <w:kern w:val="2"/>
          <w:szCs w:val="22"/>
          <w:lang w:val="en-US" w:eastAsia="zh-CN"/>
        </w:rPr>
        <w:t>原料来源</w:t>
      </w:r>
      <w:r>
        <w:rPr>
          <w:rFonts w:hint="eastAsia" w:ascii="黑体" w:hAnsi="黑体" w:eastAsia="黑体" w:cs="黑体"/>
          <w:color w:val="auto"/>
          <w:kern w:val="2"/>
          <w:szCs w:val="22"/>
        </w:rPr>
        <w:t>分：</w:t>
      </w:r>
      <w:bookmarkEnd w:id="64"/>
    </w:p>
    <w:p>
      <w:pPr>
        <w:pStyle w:val="50"/>
        <w:numPr>
          <w:ilvl w:val="0"/>
          <w:numId w:val="8"/>
        </w:numPr>
        <w:adjustRightInd/>
        <w:ind w:firstLine="0" w:firstLineChars="0"/>
        <w:rPr>
          <w:rFonts w:hint="eastAsia" w:ascii="宋体" w:hAnsi="宋体" w:eastAsia="宋体" w:cs="宋体"/>
          <w:color w:val="auto"/>
          <w:szCs w:val="22"/>
        </w:rPr>
      </w:pPr>
      <w:r>
        <w:rPr>
          <w:rFonts w:hint="eastAsia" w:ascii="宋体" w:hAnsi="宋体" w:eastAsia="宋体" w:cs="宋体"/>
          <w:color w:val="auto"/>
          <w:szCs w:val="22"/>
        </w:rPr>
        <w:t>海洋鱼肽，如鳀鱼肽、沙丁鱼肽、金枪鱼肽、鳕鱼肽等；</w:t>
      </w:r>
    </w:p>
    <w:p>
      <w:pPr>
        <w:pStyle w:val="50"/>
        <w:numPr>
          <w:ilvl w:val="0"/>
          <w:numId w:val="8"/>
        </w:numPr>
        <w:adjustRightInd/>
        <w:ind w:firstLine="0" w:firstLineChars="0"/>
        <w:rPr>
          <w:rFonts w:hint="eastAsia" w:ascii="宋体" w:hAnsi="宋体" w:eastAsia="宋体" w:cs="宋体"/>
          <w:color w:val="auto"/>
          <w:szCs w:val="22"/>
        </w:rPr>
      </w:pPr>
      <w:r>
        <w:rPr>
          <w:rFonts w:hint="eastAsia" w:ascii="宋体" w:hAnsi="宋体" w:eastAsia="宋体" w:cs="宋体"/>
          <w:color w:val="auto"/>
          <w:szCs w:val="22"/>
        </w:rPr>
        <w:t>其他海洋动物肽，如海参肽、蛤蜊肽、牡蛎肽等。</w:t>
      </w:r>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65" w:name="_Toc10957"/>
      <w:r>
        <w:rPr>
          <w:rFonts w:hint="eastAsia" w:ascii="黑体" w:hAnsi="黑体" w:eastAsia="黑体" w:cs="黑体"/>
          <w:color w:val="auto"/>
          <w:kern w:val="2"/>
          <w:szCs w:val="22"/>
        </w:rPr>
        <w:t>按相对分子量分：</w:t>
      </w:r>
      <w:bookmarkEnd w:id="65"/>
    </w:p>
    <w:p>
      <w:pPr>
        <w:pStyle w:val="50"/>
        <w:numPr>
          <w:ilvl w:val="0"/>
          <w:numId w:val="9"/>
        </w:numPr>
        <w:adjustRightInd/>
        <w:ind w:firstLine="0" w:firstLineChars="0"/>
        <w:rPr>
          <w:rFonts w:hint="eastAsia" w:ascii="宋体" w:hAnsi="宋体" w:eastAsia="宋体" w:cs="宋体"/>
          <w:color w:val="auto"/>
          <w:szCs w:val="22"/>
        </w:rPr>
      </w:pPr>
      <w:r>
        <w:rPr>
          <w:rFonts w:hint="eastAsia" w:ascii="宋体" w:hAnsi="宋体" w:eastAsia="宋体" w:cs="宋体"/>
          <w:color w:val="auto"/>
          <w:szCs w:val="22"/>
        </w:rPr>
        <w:t>海洋动物低聚肽：相对分子质量小于1 000u的蛋白质水解物所占比例不低于90%；</w:t>
      </w:r>
    </w:p>
    <w:p>
      <w:pPr>
        <w:pStyle w:val="50"/>
        <w:numPr>
          <w:ilvl w:val="0"/>
          <w:numId w:val="9"/>
        </w:numPr>
        <w:adjustRightInd/>
        <w:ind w:firstLine="0" w:firstLineChars="0"/>
        <w:rPr>
          <w:rFonts w:hint="eastAsia" w:ascii="宋体" w:hAnsi="宋体" w:eastAsia="宋体" w:cs="宋体"/>
          <w:color w:val="auto"/>
          <w:szCs w:val="22"/>
        </w:rPr>
      </w:pPr>
      <w:r>
        <w:rPr>
          <w:rFonts w:hint="eastAsia" w:ascii="宋体" w:hAnsi="宋体" w:eastAsia="宋体" w:cs="宋体"/>
          <w:color w:val="auto"/>
          <w:szCs w:val="22"/>
        </w:rPr>
        <w:t>海洋动物多肽：相对分子质量小于1 000u的蛋白质水解物所占比例低于90%，且相对分子质量小于10 000u的蛋白质水解物所占比例不低于90%。</w:t>
      </w:r>
    </w:p>
    <w:p>
      <w:pPr>
        <w:pStyle w:val="47"/>
        <w:rPr>
          <w:rFonts w:hint="eastAsia"/>
          <w:color w:val="auto"/>
        </w:rPr>
      </w:pPr>
      <w:bookmarkStart w:id="66" w:name="_Toc9298"/>
      <w:r>
        <w:rPr>
          <w:rFonts w:hint="eastAsia"/>
          <w:color w:val="auto"/>
        </w:rPr>
        <w:t>要求</w:t>
      </w:r>
      <w:bookmarkEnd w:id="66"/>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67" w:name="_Toc29160"/>
      <w:r>
        <w:rPr>
          <w:rFonts w:hint="eastAsia" w:ascii="黑体" w:hAnsi="黑体" w:eastAsia="黑体" w:cs="黑体"/>
          <w:color w:val="auto"/>
          <w:kern w:val="2"/>
          <w:szCs w:val="22"/>
        </w:rPr>
        <w:t>原辅料要求</w:t>
      </w:r>
      <w:bookmarkEnd w:id="67"/>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color w:val="auto"/>
        </w:rPr>
      </w:pPr>
      <w:r>
        <w:rPr>
          <w:rFonts w:hint="eastAsia" w:ascii="Times New Roman" w:eastAsia="宋体" w:cs="Times New Roman"/>
          <w:color w:val="auto"/>
        </w:rPr>
        <w:t>海洋动物应符合GB 2733及其他相关标准的要求。</w:t>
      </w:r>
    </w:p>
    <w:p>
      <w:pPr>
        <w:pStyle w:val="71"/>
        <w:spacing w:before="156" w:after="156"/>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干制品海洋动物应符合GB10136的要求。</w:t>
      </w:r>
    </w:p>
    <w:p>
      <w:pPr>
        <w:pStyle w:val="71"/>
        <w:spacing w:before="156" w:after="156"/>
        <w:rPr>
          <w:rFonts w:ascii="Times New Roman" w:eastAsia="宋体" w:cs="Times New Roman"/>
          <w:color w:val="auto"/>
        </w:rPr>
      </w:pPr>
      <w:r>
        <w:rPr>
          <w:rFonts w:hint="eastAsia" w:ascii="Times New Roman" w:eastAsia="宋体" w:cs="Times New Roman"/>
          <w:color w:val="auto"/>
        </w:rPr>
        <w:t>其他原辅料</w:t>
      </w:r>
      <w:r>
        <w:rPr>
          <w:rFonts w:ascii="Times New Roman" w:eastAsia="宋体" w:cs="Times New Roman"/>
          <w:color w:val="auto"/>
        </w:rPr>
        <w:t>应符合相应国家、行业标准要求。</w:t>
      </w:r>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68" w:name="_Toc3300"/>
      <w:r>
        <w:rPr>
          <w:rFonts w:hint="eastAsia" w:ascii="黑体" w:hAnsi="黑体" w:eastAsia="黑体" w:cs="黑体"/>
          <w:color w:val="auto"/>
          <w:kern w:val="2"/>
          <w:szCs w:val="22"/>
        </w:rPr>
        <w:t>生产要求</w:t>
      </w:r>
      <w:bookmarkEnd w:id="68"/>
    </w:p>
    <w:p>
      <w:pPr>
        <w:pStyle w:val="71"/>
        <w:numPr>
          <w:ilvl w:val="3"/>
          <w:numId w:val="0"/>
        </w:numPr>
        <w:spacing w:before="0" w:beforeLines="0" w:after="0" w:afterLines="0"/>
        <w:ind w:firstLine="420" w:firstLineChars="200"/>
        <w:rPr>
          <w:rFonts w:hint="eastAsia" w:ascii="宋体" w:hAnsi="宋体" w:eastAsia="宋体" w:cs="宋体"/>
          <w:color w:val="auto"/>
        </w:rPr>
      </w:pPr>
      <w:r>
        <w:rPr>
          <w:rFonts w:hint="eastAsia" w:ascii="宋体" w:hAnsi="宋体" w:eastAsia="宋体" w:cs="宋体"/>
          <w:color w:val="auto"/>
          <w:lang w:bidi="ar"/>
        </w:rPr>
        <w:t>产品生产卫生应符合GB 14881</w:t>
      </w:r>
      <w:r>
        <w:rPr>
          <w:rFonts w:hint="eastAsia" w:ascii="宋体" w:hAnsi="宋体" w:eastAsia="宋体" w:cs="宋体"/>
          <w:color w:val="auto"/>
        </w:rPr>
        <w:t>要求</w:t>
      </w:r>
      <w:r>
        <w:rPr>
          <w:rFonts w:hint="eastAsia" w:ascii="宋体" w:hAnsi="宋体" w:eastAsia="宋体" w:cs="宋体"/>
          <w:color w:val="auto"/>
          <w:lang w:bidi="ar"/>
        </w:rPr>
        <w:t>。</w:t>
      </w:r>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69" w:name="_Toc23084"/>
      <w:r>
        <w:rPr>
          <w:rFonts w:hint="eastAsia" w:ascii="黑体" w:hAnsi="黑体" w:eastAsia="黑体" w:cs="黑体"/>
          <w:color w:val="auto"/>
          <w:kern w:val="2"/>
          <w:szCs w:val="22"/>
        </w:rPr>
        <w:t>技术要求</w:t>
      </w:r>
      <w:bookmarkEnd w:id="69"/>
    </w:p>
    <w:p>
      <w:pPr>
        <w:pStyle w:val="71"/>
        <w:spacing w:before="156" w:after="156"/>
        <w:rPr>
          <w:color w:val="auto"/>
        </w:rPr>
      </w:pPr>
      <w:r>
        <w:rPr>
          <w:rFonts w:hint="eastAsia" w:hAnsi="黑体"/>
          <w:color w:val="auto"/>
          <w:lang w:bidi="ar"/>
        </w:rPr>
        <w:t>感官</w:t>
      </w:r>
      <w:r>
        <w:rPr>
          <w:rFonts w:hint="eastAsia"/>
          <w:color w:val="auto"/>
        </w:rPr>
        <w:t>要求</w:t>
      </w:r>
    </w:p>
    <w:p>
      <w:pPr>
        <w:pStyle w:val="50"/>
        <w:rPr>
          <w:color w:val="auto"/>
        </w:rPr>
      </w:pPr>
      <w:r>
        <w:rPr>
          <w:rFonts w:hint="eastAsia"/>
          <w:color w:val="auto"/>
        </w:rPr>
        <w:t>应符合表1的规定。</w:t>
      </w:r>
    </w:p>
    <w:p>
      <w:pPr>
        <w:pStyle w:val="81"/>
        <w:numPr>
          <w:ilvl w:val="0"/>
          <w:numId w:val="0"/>
        </w:numPr>
        <w:spacing w:before="156" w:after="156"/>
        <w:ind w:leftChars="0"/>
        <w:jc w:val="center"/>
        <w:rPr>
          <w:rFonts w:hint="eastAsia" w:ascii="黑体" w:hAnsi="黑体" w:eastAsia="黑体" w:cs="黑体"/>
          <w:color w:val="auto"/>
        </w:rPr>
      </w:pPr>
      <w:r>
        <w:rPr>
          <w:rFonts w:hint="eastAsia" w:ascii="黑体" w:hAnsi="黑体" w:eastAsia="黑体" w:cs="黑体"/>
          <w:color w:val="auto"/>
          <w:lang w:eastAsia="zh-CN"/>
        </w:rPr>
        <w:t>表</w:t>
      </w:r>
      <w:r>
        <w:rPr>
          <w:rFonts w:hint="eastAsia" w:ascii="黑体" w:hAnsi="黑体" w:eastAsia="黑体" w:cs="黑体"/>
          <w:color w:val="auto"/>
          <w:lang w:val="en-US" w:eastAsia="zh-CN"/>
        </w:rPr>
        <w:t xml:space="preserve">1 </w:t>
      </w:r>
      <w:r>
        <w:rPr>
          <w:rFonts w:hint="eastAsia" w:ascii="黑体" w:hAnsi="黑体" w:eastAsia="黑体" w:cs="黑体"/>
          <w:color w:val="auto"/>
        </w:rPr>
        <w:t>感官要求</w:t>
      </w:r>
    </w:p>
    <w:tbl>
      <w:tblPr>
        <w:tblStyle w:val="24"/>
        <w:tblW w:w="8928" w:type="dxa"/>
        <w:tblInd w:w="1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22"/>
        <w:gridCol w:w="6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63"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522"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项  目</w:t>
            </w:r>
          </w:p>
        </w:tc>
        <w:tc>
          <w:tcPr>
            <w:tcW w:w="6643" w:type="dxa"/>
            <w:tcBorders>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63"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22"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色  泽</w:t>
            </w:r>
          </w:p>
        </w:tc>
        <w:tc>
          <w:tcPr>
            <w:tcW w:w="6643"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白色或淡黄色或符合产品特性的其他颜色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763"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22"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组织形态</w:t>
            </w:r>
          </w:p>
        </w:tc>
        <w:tc>
          <w:tcPr>
            <w:tcW w:w="6643"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粉状产品应无结块；液体产品应均匀，允许有少量沉淀或絮状物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trPr>
        <w:tc>
          <w:tcPr>
            <w:tcW w:w="763"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522"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滋味、气味</w:t>
            </w:r>
          </w:p>
        </w:tc>
        <w:tc>
          <w:tcPr>
            <w:tcW w:w="6643"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具有产品应有的滋味及气味，无异味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63" w:type="dxa"/>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1522" w:type="dxa"/>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杂  质</w:t>
            </w:r>
          </w:p>
        </w:tc>
        <w:tc>
          <w:tcPr>
            <w:tcW w:w="6643" w:type="dxa"/>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无正常视力可见杂质</w:t>
            </w:r>
          </w:p>
        </w:tc>
      </w:tr>
    </w:tbl>
    <w:p>
      <w:pPr>
        <w:pStyle w:val="71"/>
        <w:spacing w:before="156" w:after="156"/>
        <w:rPr>
          <w:color w:val="auto"/>
        </w:rPr>
      </w:pPr>
      <w:bookmarkStart w:id="70" w:name="_Toc570"/>
      <w:r>
        <w:rPr>
          <w:rFonts w:hint="eastAsia"/>
          <w:color w:val="auto"/>
        </w:rPr>
        <w:t>理化指标</w:t>
      </w:r>
      <w:bookmarkEnd w:id="70"/>
    </w:p>
    <w:p>
      <w:pPr>
        <w:pStyle w:val="50"/>
        <w:rPr>
          <w:rFonts w:hint="eastAsia"/>
          <w:color w:val="auto"/>
        </w:rPr>
      </w:pPr>
      <w:r>
        <w:rPr>
          <w:rFonts w:hint="eastAsia"/>
          <w:color w:val="auto"/>
        </w:rPr>
        <w:t>应符合表2的规定。</w:t>
      </w:r>
    </w:p>
    <w:p>
      <w:pPr>
        <w:pStyle w:val="50"/>
        <w:rPr>
          <w:rFonts w:hint="eastAsia"/>
          <w:color w:val="auto"/>
        </w:rPr>
      </w:pPr>
    </w:p>
    <w:p>
      <w:pPr>
        <w:pStyle w:val="50"/>
        <w:rPr>
          <w:rFonts w:hint="eastAsia"/>
          <w:color w:val="auto"/>
        </w:rPr>
      </w:pPr>
    </w:p>
    <w:p>
      <w:pPr>
        <w:pStyle w:val="81"/>
        <w:numPr>
          <w:ilvl w:val="0"/>
          <w:numId w:val="0"/>
        </w:numPr>
        <w:spacing w:before="156" w:after="156"/>
        <w:ind w:leftChars="0"/>
        <w:rPr>
          <w:rFonts w:hint="eastAsia"/>
          <w:color w:val="auto"/>
        </w:rPr>
      </w:pPr>
      <w:r>
        <w:rPr>
          <w:rFonts w:hint="eastAsia"/>
          <w:color w:val="auto"/>
          <w:lang w:eastAsia="zh-CN"/>
        </w:rPr>
        <w:t>表</w:t>
      </w:r>
      <w:r>
        <w:rPr>
          <w:rFonts w:hint="eastAsia"/>
          <w:color w:val="auto"/>
          <w:lang w:val="en-US" w:eastAsia="zh-CN"/>
        </w:rPr>
        <w:t xml:space="preserve">2 </w:t>
      </w:r>
      <w:r>
        <w:rPr>
          <w:rFonts w:hint="eastAsia"/>
          <w:color w:val="auto"/>
        </w:rPr>
        <w:t>理化指标</w:t>
      </w:r>
    </w:p>
    <w:tbl>
      <w:tblPr>
        <w:tblStyle w:val="24"/>
        <w:tblpPr w:leftFromText="180" w:rightFromText="180" w:vertAnchor="text" w:horzAnchor="page" w:tblpX="1289" w:tblpY="188"/>
        <w:tblOverlap w:val="never"/>
        <w:tblW w:w="89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460"/>
        <w:gridCol w:w="939"/>
        <w:gridCol w:w="933"/>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5" w:type="dxa"/>
            <w:vMerge w:val="restart"/>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5460" w:type="dxa"/>
            <w:vMerge w:val="restart"/>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项  目</w:t>
            </w:r>
          </w:p>
        </w:tc>
        <w:tc>
          <w:tcPr>
            <w:tcW w:w="1872" w:type="dxa"/>
            <w:gridSpan w:val="2"/>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海洋鱼肽</w:t>
            </w:r>
          </w:p>
        </w:tc>
        <w:tc>
          <w:tcPr>
            <w:tcW w:w="1049" w:type="dxa"/>
            <w:vMerge w:val="restart"/>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其他海洋动物肽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5" w:type="dxa"/>
            <w:vMerge w:val="continue"/>
            <w:vAlign w:val="center"/>
          </w:tcPr>
          <w:p>
            <w:pPr>
              <w:pStyle w:val="50"/>
              <w:ind w:firstLine="0" w:firstLineChars="0"/>
              <w:jc w:val="center"/>
              <w:rPr>
                <w:rFonts w:hint="eastAsia" w:ascii="宋体" w:hAnsi="宋体" w:eastAsia="宋体" w:cs="宋体"/>
                <w:color w:val="auto"/>
                <w:sz w:val="18"/>
                <w:szCs w:val="18"/>
              </w:rPr>
            </w:pPr>
          </w:p>
        </w:tc>
        <w:tc>
          <w:tcPr>
            <w:tcW w:w="5460" w:type="dxa"/>
            <w:vMerge w:val="continue"/>
            <w:vAlign w:val="center"/>
          </w:tcPr>
          <w:p>
            <w:pPr>
              <w:pStyle w:val="50"/>
              <w:ind w:firstLine="0" w:firstLineChars="0"/>
              <w:jc w:val="center"/>
              <w:rPr>
                <w:rFonts w:hint="eastAsia" w:ascii="宋体" w:hAnsi="宋体" w:eastAsia="宋体" w:cs="宋体"/>
                <w:color w:val="auto"/>
                <w:sz w:val="18"/>
                <w:szCs w:val="18"/>
              </w:rPr>
            </w:pPr>
          </w:p>
        </w:tc>
        <w:tc>
          <w:tcPr>
            <w:tcW w:w="939"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多肽</w:t>
            </w:r>
          </w:p>
        </w:tc>
        <w:tc>
          <w:tcPr>
            <w:tcW w:w="933"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低聚肽</w:t>
            </w:r>
          </w:p>
        </w:tc>
        <w:tc>
          <w:tcPr>
            <w:tcW w:w="1049" w:type="dxa"/>
            <w:vMerge w:val="continue"/>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460" w:type="dxa"/>
            <w:tcBorders>
              <w:top w:val="single" w:color="auto" w:sz="8" w:space="0"/>
              <w:bottom w:val="single" w:color="auto" w:sz="4" w:space="0"/>
            </w:tcBorders>
            <w:vAlign w:val="center"/>
          </w:tcPr>
          <w:p>
            <w:pPr>
              <w:pStyle w:val="50"/>
              <w:ind w:firstLine="0" w:firstLineChars="0"/>
              <w:jc w:val="right"/>
              <w:rPr>
                <w:rFonts w:hint="eastAsia" w:ascii="宋体" w:hAnsi="宋体" w:eastAsia="宋体" w:cs="宋体"/>
                <w:color w:val="auto"/>
                <w:sz w:val="18"/>
                <w:szCs w:val="18"/>
              </w:rPr>
            </w:pPr>
            <w:r>
              <w:rPr>
                <w:rFonts w:hint="eastAsia" w:ascii="宋体" w:hAnsi="宋体" w:eastAsia="宋体" w:cs="宋体"/>
                <w:strike w:val="0"/>
                <w:dstrike w:val="0"/>
                <w:color w:val="auto"/>
                <w:sz w:val="18"/>
                <w:szCs w:val="18"/>
                <w:lang w:val="en-US" w:eastAsia="zh-CN"/>
              </w:rPr>
              <w:t>蛋白质（粗蛋白）</w:t>
            </w:r>
            <w:r>
              <w:rPr>
                <w:rFonts w:hint="eastAsia" w:ascii="宋体" w:hAnsi="宋体" w:eastAsia="宋体" w:cs="宋体"/>
                <w:strike w:val="0"/>
                <w:dstrike w:val="0"/>
                <w:color w:val="auto"/>
                <w:sz w:val="18"/>
                <w:szCs w:val="18"/>
              </w:rPr>
              <w:t>/</w:t>
            </w:r>
            <w:r>
              <w:rPr>
                <w:rFonts w:hint="eastAsia" w:ascii="宋体" w:hAnsi="宋体" w:eastAsia="宋体" w:cs="宋体"/>
                <w:color w:val="auto"/>
                <w:sz w:val="18"/>
                <w:szCs w:val="18"/>
              </w:rPr>
              <w:t>（g/100g）               ≥</w:t>
            </w:r>
          </w:p>
        </w:tc>
        <w:tc>
          <w:tcPr>
            <w:tcW w:w="939"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94</w:t>
            </w:r>
          </w:p>
        </w:tc>
        <w:tc>
          <w:tcPr>
            <w:tcW w:w="933"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90</w:t>
            </w:r>
          </w:p>
        </w:tc>
        <w:tc>
          <w:tcPr>
            <w:tcW w:w="1049" w:type="dxa"/>
            <w:tcBorders>
              <w:top w:val="single" w:color="auto" w:sz="8"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5460" w:type="dxa"/>
            <w:tcBorders>
              <w:top w:val="single" w:color="auto" w:sz="4" w:space="0"/>
            </w:tcBorders>
            <w:vAlign w:val="center"/>
          </w:tcPr>
          <w:p>
            <w:pPr>
              <w:pStyle w:val="50"/>
              <w:ind w:firstLine="0" w:firstLineChars="0"/>
              <w:jc w:val="right"/>
              <w:rPr>
                <w:rFonts w:hint="eastAsia" w:ascii="宋体" w:hAnsi="宋体" w:eastAsia="宋体" w:cs="宋体"/>
                <w:color w:val="auto"/>
                <w:sz w:val="18"/>
                <w:szCs w:val="18"/>
              </w:rPr>
            </w:pPr>
            <w:r>
              <w:rPr>
                <w:rFonts w:hint="eastAsia" w:ascii="宋体" w:hAnsi="宋体" w:eastAsia="宋体" w:cs="宋体"/>
                <w:color w:val="auto"/>
                <w:sz w:val="18"/>
                <w:szCs w:val="18"/>
              </w:rPr>
              <w:t>肽含量（以干基计）/（%）           ≥</w:t>
            </w:r>
          </w:p>
        </w:tc>
        <w:tc>
          <w:tcPr>
            <w:tcW w:w="93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75</w:t>
            </w:r>
          </w:p>
        </w:tc>
        <w:tc>
          <w:tcPr>
            <w:tcW w:w="933"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85</w:t>
            </w:r>
          </w:p>
        </w:tc>
        <w:tc>
          <w:tcPr>
            <w:tcW w:w="104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5"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5460" w:type="dxa"/>
            <w:tcBorders>
              <w:top w:val="single" w:color="auto" w:sz="4" w:space="0"/>
            </w:tcBorders>
            <w:vAlign w:val="center"/>
          </w:tcPr>
          <w:p>
            <w:pPr>
              <w:pStyle w:val="50"/>
              <w:ind w:firstLine="0" w:firstLineChars="0"/>
              <w:jc w:val="right"/>
              <w:rPr>
                <w:rFonts w:hint="eastAsia" w:ascii="宋体" w:hAnsi="宋体" w:eastAsia="宋体" w:cs="宋体"/>
                <w:color w:val="auto"/>
                <w:sz w:val="18"/>
                <w:szCs w:val="18"/>
              </w:rPr>
            </w:pPr>
            <w:r>
              <w:rPr>
                <w:rFonts w:hint="eastAsia" w:ascii="宋体" w:hAnsi="宋体" w:eastAsia="宋体" w:cs="宋体"/>
                <w:color w:val="auto"/>
                <w:sz w:val="18"/>
                <w:szCs w:val="18"/>
              </w:rPr>
              <w:t>灰分/（%）                   ≤</w:t>
            </w:r>
          </w:p>
        </w:tc>
        <w:tc>
          <w:tcPr>
            <w:tcW w:w="1872" w:type="dxa"/>
            <w:gridSpan w:val="2"/>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104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5460" w:type="dxa"/>
            <w:tcBorders>
              <w:top w:val="single" w:color="auto" w:sz="4" w:space="0"/>
            </w:tcBorders>
            <w:vAlign w:val="center"/>
          </w:tcPr>
          <w:p>
            <w:pPr>
              <w:pStyle w:val="50"/>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相对分子质量小于10 000u的蛋白质水解物所占比例/（%）     ≥</w:t>
            </w:r>
          </w:p>
        </w:tc>
        <w:tc>
          <w:tcPr>
            <w:tcW w:w="93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90</w:t>
            </w:r>
          </w:p>
        </w:tc>
        <w:tc>
          <w:tcPr>
            <w:tcW w:w="933"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104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460" w:type="dxa"/>
            <w:tcBorders>
              <w:top w:val="single" w:color="auto" w:sz="4" w:space="0"/>
            </w:tcBorders>
            <w:vAlign w:val="center"/>
          </w:tcPr>
          <w:p>
            <w:pPr>
              <w:pStyle w:val="50"/>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相对分子质量小于1 000u的蛋白质水解物所占比例/（%）      ≥</w:t>
            </w:r>
          </w:p>
        </w:tc>
        <w:tc>
          <w:tcPr>
            <w:tcW w:w="93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33"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90</w:t>
            </w:r>
          </w:p>
        </w:tc>
        <w:tc>
          <w:tcPr>
            <w:tcW w:w="1049" w:type="dxa"/>
            <w:tcBorders>
              <w:top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5460" w:type="dxa"/>
            <w:tcBorders>
              <w:top w:val="single" w:color="auto" w:sz="4" w:space="0"/>
              <w:bottom w:val="single" w:color="auto" w:sz="4" w:space="0"/>
            </w:tcBorders>
            <w:vAlign w:val="center"/>
          </w:tcPr>
          <w:p>
            <w:pPr>
              <w:pStyle w:val="50"/>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水分</w:t>
            </w:r>
            <w:r>
              <w:rPr>
                <w:rFonts w:hint="eastAsia" w:ascii="宋体" w:hAnsi="宋体" w:eastAsia="宋体" w:cs="宋体"/>
                <w:color w:val="auto"/>
                <w:sz w:val="18"/>
                <w:szCs w:val="18"/>
                <w:vertAlign w:val="superscript"/>
                <w:lang w:val="en-US" w:eastAsia="zh-CN"/>
              </w:rPr>
              <w:t>a</w:t>
            </w:r>
            <w:r>
              <w:rPr>
                <w:rFonts w:hint="eastAsia" w:ascii="宋体" w:hAnsi="宋体" w:eastAsia="宋体" w:cs="宋体"/>
                <w:color w:val="auto"/>
                <w:sz w:val="18"/>
                <w:szCs w:val="18"/>
              </w:rPr>
              <w:t>/（%）                                              ≤</w:t>
            </w:r>
          </w:p>
        </w:tc>
        <w:tc>
          <w:tcPr>
            <w:tcW w:w="1872" w:type="dxa"/>
            <w:gridSpan w:val="2"/>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1049" w:type="dxa"/>
            <w:tcBorders>
              <w:top w:val="single" w:color="auto" w:sz="4" w:space="0"/>
              <w:bottom w:val="single" w:color="auto" w:sz="4"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highlight w:val="yellow"/>
              </w:rPr>
            </w:pPr>
            <w:r>
              <w:rPr>
                <w:rFonts w:hint="eastAsia" w:ascii="宋体" w:hAnsi="宋体" w:eastAsia="宋体" w:cs="宋体"/>
                <w:color w:val="auto"/>
                <w:sz w:val="18"/>
                <w:szCs w:val="18"/>
              </w:rPr>
              <w:t>7</w:t>
            </w:r>
          </w:p>
        </w:tc>
        <w:tc>
          <w:tcPr>
            <w:tcW w:w="5460" w:type="dxa"/>
            <w:tcBorders>
              <w:top w:val="single" w:color="auto" w:sz="4" w:space="0"/>
              <w:bottom w:val="single" w:color="auto" w:sz="8" w:space="0"/>
            </w:tcBorders>
            <w:vAlign w:val="center"/>
          </w:tcPr>
          <w:p>
            <w:pPr>
              <w:pStyle w:val="50"/>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8种人体必需氨基酸含量之和</w:t>
            </w:r>
            <w:r>
              <w:rPr>
                <w:rFonts w:hint="eastAsia" w:ascii="宋体" w:hAnsi="宋体" w:eastAsia="宋体" w:cs="宋体"/>
                <w:color w:val="auto"/>
                <w:sz w:val="18"/>
                <w:szCs w:val="18"/>
                <w:vertAlign w:val="superscript"/>
                <w:lang w:val="en-US" w:eastAsia="zh-CN"/>
              </w:rPr>
              <w:t>b</w:t>
            </w:r>
            <w:r>
              <w:rPr>
                <w:rFonts w:hint="eastAsia" w:ascii="宋体" w:hAnsi="宋体" w:eastAsia="宋体" w:cs="宋体"/>
                <w:color w:val="auto"/>
                <w:sz w:val="18"/>
                <w:szCs w:val="18"/>
              </w:rPr>
              <w:t>/（g/100g）                     ≥</w:t>
            </w:r>
          </w:p>
        </w:tc>
        <w:tc>
          <w:tcPr>
            <w:tcW w:w="1872" w:type="dxa"/>
            <w:gridSpan w:val="2"/>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35</w:t>
            </w:r>
          </w:p>
        </w:tc>
        <w:tc>
          <w:tcPr>
            <w:tcW w:w="1049" w:type="dxa"/>
            <w:tcBorders>
              <w:top w:val="single" w:color="auto" w:sz="4" w:space="0"/>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6" w:type="dxa"/>
            <w:gridSpan w:val="5"/>
            <w:tcBorders>
              <w:top w:val="single" w:color="auto" w:sz="8" w:space="0"/>
              <w:bottom w:val="single" w:color="auto" w:sz="8" w:space="0"/>
            </w:tcBorders>
            <w:vAlign w:val="center"/>
          </w:tcPr>
          <w:p>
            <w:pPr>
              <w:pStyle w:val="50"/>
              <w:keepNext w:val="0"/>
              <w:keepLines w:val="0"/>
              <w:pageBreakBefore w:val="0"/>
              <w:widowControl w:val="0"/>
              <w:kinsoku/>
              <w:wordWrap/>
              <w:overflowPunct/>
              <w:topLinePunct w:val="0"/>
              <w:autoSpaceDE/>
              <w:autoSpaceDN/>
              <w:bidi w:val="0"/>
              <w:adjustRightInd w:val="0"/>
              <w:snapToGrid/>
              <w:ind w:left="0" w:leftChars="0" w:firstLine="360" w:firstLineChars="20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superscript"/>
                <w:lang w:val="en-US" w:eastAsia="zh-CN"/>
              </w:rPr>
              <w:t>a</w:t>
            </w:r>
            <w:r>
              <w:rPr>
                <w:rFonts w:hint="eastAsia" w:ascii="宋体" w:hAnsi="宋体" w:eastAsia="宋体" w:cs="宋体"/>
                <w:color w:val="auto"/>
                <w:sz w:val="18"/>
                <w:szCs w:val="18"/>
                <w:highlight w:val="none"/>
                <w:vertAlign w:val="baseline"/>
                <w:lang w:val="en-US" w:eastAsia="zh-CN"/>
              </w:rPr>
              <w:t>适用于粉状产品。</w:t>
            </w:r>
          </w:p>
          <w:p>
            <w:pPr>
              <w:pStyle w:val="50"/>
              <w:keepNext w:val="0"/>
              <w:keepLines w:val="0"/>
              <w:pageBreakBefore w:val="0"/>
              <w:widowControl w:val="0"/>
              <w:kinsoku/>
              <w:wordWrap/>
              <w:overflowPunct/>
              <w:topLinePunct w:val="0"/>
              <w:autoSpaceDE/>
              <w:autoSpaceDN/>
              <w:bidi w:val="0"/>
              <w:adjustRightInd w:val="0"/>
              <w:snapToGrid/>
              <w:ind w:firstLine="360" w:firstLineChars="200"/>
              <w:textAlignment w:val="auto"/>
              <w:rPr>
                <w:rFonts w:hint="eastAsia" w:ascii="宋体" w:hAnsi="宋体" w:eastAsia="宋体" w:cs="宋体"/>
                <w:color w:val="auto"/>
                <w:sz w:val="18"/>
                <w:szCs w:val="18"/>
                <w:vertAlign w:val="superscript"/>
              </w:rPr>
            </w:pPr>
            <w:r>
              <w:rPr>
                <w:rFonts w:hint="eastAsia" w:ascii="宋体" w:hAnsi="宋体" w:eastAsia="宋体" w:cs="宋体"/>
                <w:color w:val="auto"/>
                <w:sz w:val="18"/>
                <w:szCs w:val="18"/>
                <w:vertAlign w:val="superscript"/>
                <w:lang w:val="en-US" w:eastAsia="zh-CN"/>
              </w:rPr>
              <w:t>b</w:t>
            </w:r>
            <w:r>
              <w:rPr>
                <w:rFonts w:hint="eastAsia" w:ascii="宋体" w:hAnsi="宋体" w:eastAsia="宋体" w:cs="宋体"/>
                <w:color w:val="auto"/>
                <w:sz w:val="18"/>
                <w:szCs w:val="18"/>
              </w:rPr>
              <w:t>客户有要求时适用。其中，8种人体必需氨基酸包括异亮氨酸、亮氨酸、赖氨酸、甲硫氨酸、苯丙氨酸、苏氨酸、色氨酸、缬氨酸。</w:t>
            </w:r>
          </w:p>
        </w:tc>
      </w:tr>
    </w:tbl>
    <w:p>
      <w:pPr>
        <w:pStyle w:val="71"/>
        <w:spacing w:before="312" w:beforeLines="100" w:after="156"/>
        <w:rPr>
          <w:color w:val="auto"/>
        </w:rPr>
      </w:pPr>
      <w:bookmarkStart w:id="71" w:name="_Toc418"/>
      <w:r>
        <w:rPr>
          <w:rFonts w:hint="eastAsia"/>
          <w:color w:val="auto"/>
        </w:rPr>
        <w:t>卫生指标</w:t>
      </w:r>
    </w:p>
    <w:p>
      <w:pPr>
        <w:pStyle w:val="82"/>
        <w:rPr>
          <w:rFonts w:hAnsi="黑体"/>
          <w:color w:val="auto"/>
        </w:rPr>
      </w:pPr>
      <w:r>
        <w:rPr>
          <w:rFonts w:hint="eastAsia" w:hAnsi="黑体"/>
          <w:color w:val="auto"/>
        </w:rPr>
        <w:t>污染物指标</w:t>
      </w:r>
    </w:p>
    <w:p>
      <w:pPr>
        <w:pStyle w:val="82"/>
        <w:numPr>
          <w:ilvl w:val="4"/>
          <w:numId w:val="0"/>
        </w:numPr>
        <w:ind w:firstLine="420" w:firstLineChars="200"/>
        <w:rPr>
          <w:rFonts w:ascii="Times New Roman" w:eastAsia="宋体" w:cs="Times New Roman"/>
          <w:color w:val="auto"/>
        </w:rPr>
      </w:pPr>
      <w:r>
        <w:rPr>
          <w:rFonts w:hint="eastAsia" w:ascii="Times New Roman" w:eastAsia="宋体" w:cs="Times New Roman"/>
          <w:color w:val="auto"/>
        </w:rPr>
        <w:t>应符合表3的规定。</w:t>
      </w:r>
    </w:p>
    <w:p>
      <w:pPr>
        <w:pStyle w:val="81"/>
        <w:numPr>
          <w:ilvl w:val="0"/>
          <w:numId w:val="0"/>
        </w:numPr>
        <w:spacing w:before="156" w:after="156"/>
        <w:ind w:left="-10" w:leftChars="0"/>
        <w:rPr>
          <w:rFonts w:ascii="黑体" w:hAnsi="黑体" w:cs="黑体"/>
          <w:color w:val="auto"/>
        </w:rPr>
      </w:pPr>
      <w:r>
        <w:rPr>
          <w:rFonts w:hint="eastAsia" w:ascii="黑体" w:hAnsi="黑体" w:cs="黑体"/>
          <w:color w:val="auto"/>
          <w:lang w:eastAsia="zh-CN"/>
        </w:rPr>
        <w:t>表</w:t>
      </w:r>
      <w:r>
        <w:rPr>
          <w:rFonts w:hint="eastAsia" w:ascii="黑体" w:hAnsi="黑体" w:cs="黑体"/>
          <w:color w:val="auto"/>
          <w:lang w:val="en-US" w:eastAsia="zh-CN"/>
        </w:rPr>
        <w:t xml:space="preserve">3 </w:t>
      </w:r>
      <w:r>
        <w:rPr>
          <w:rFonts w:hint="eastAsia" w:ascii="黑体" w:hAnsi="黑体" w:cs="黑体"/>
          <w:color w:val="auto"/>
        </w:rPr>
        <w:t>污染物指标</w:t>
      </w:r>
    </w:p>
    <w:tbl>
      <w:tblPr>
        <w:tblStyle w:val="24"/>
        <w:tblW w:w="0" w:type="auto"/>
        <w:tblInd w:w="11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339"/>
        <w:gridCol w:w="4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3339"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项  目</w:t>
            </w:r>
          </w:p>
        </w:tc>
        <w:tc>
          <w:tcPr>
            <w:tcW w:w="4795"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3339" w:type="dxa"/>
            <w:tcBorders>
              <w:top w:val="single" w:color="auto" w:sz="8" w:space="0"/>
            </w:tcBorders>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无机砷/（mg/kg）      ≤</w:t>
            </w:r>
          </w:p>
        </w:tc>
        <w:tc>
          <w:tcPr>
            <w:tcW w:w="4795" w:type="dxa"/>
            <w:tcBorders>
              <w:top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3339" w:type="dxa"/>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铅/（mg/kg）         ≤</w:t>
            </w:r>
          </w:p>
        </w:tc>
        <w:tc>
          <w:tcPr>
            <w:tcW w:w="4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3339" w:type="dxa"/>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镉/（mg/kg）         ≤</w:t>
            </w:r>
          </w:p>
        </w:tc>
        <w:tc>
          <w:tcPr>
            <w:tcW w:w="4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海洋鱼肽0.1；其他海洋动物肽2.0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3339" w:type="dxa"/>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甲基汞/（mg/kg）       ≤</w:t>
            </w:r>
          </w:p>
        </w:tc>
        <w:tc>
          <w:tcPr>
            <w:tcW w:w="4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3339" w:type="dxa"/>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铬 /（mg/kg）        ≤</w:t>
            </w:r>
          </w:p>
        </w:tc>
        <w:tc>
          <w:tcPr>
            <w:tcW w:w="4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3339" w:type="dxa"/>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i/>
                <w:iCs/>
                <w:color w:val="auto"/>
                <w:sz w:val="18"/>
                <w:szCs w:val="18"/>
              </w:rPr>
              <w:t>N</w:t>
            </w:r>
            <w:r>
              <w:rPr>
                <w:rFonts w:hint="eastAsia" w:ascii="宋体" w:hAnsi="宋体" w:eastAsia="宋体" w:cs="宋体"/>
                <w:color w:val="auto"/>
                <w:sz w:val="18"/>
                <w:szCs w:val="18"/>
              </w:rPr>
              <w:t>-二甲基亚硝胺/（μg/kg）     ≤</w:t>
            </w:r>
          </w:p>
        </w:tc>
        <w:tc>
          <w:tcPr>
            <w:tcW w:w="4795" w:type="dxa"/>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95"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3339" w:type="dxa"/>
            <w:tcBorders>
              <w:bottom w:val="single" w:color="auto" w:sz="8" w:space="0"/>
            </w:tcBorders>
            <w:vAlign w:val="center"/>
          </w:tcPr>
          <w:p>
            <w:pPr>
              <w:pStyle w:val="50"/>
              <w:ind w:firstLine="360"/>
              <w:jc w:val="right"/>
              <w:rPr>
                <w:rFonts w:hint="eastAsia" w:ascii="宋体" w:hAnsi="宋体" w:eastAsia="宋体" w:cs="宋体"/>
                <w:color w:val="auto"/>
                <w:sz w:val="18"/>
                <w:szCs w:val="18"/>
              </w:rPr>
            </w:pPr>
            <w:r>
              <w:rPr>
                <w:rFonts w:hint="eastAsia" w:ascii="宋体" w:hAnsi="宋体" w:eastAsia="宋体" w:cs="宋体"/>
                <w:color w:val="auto"/>
                <w:sz w:val="18"/>
                <w:szCs w:val="18"/>
              </w:rPr>
              <w:t>多氯联苯/（mg/kg）    ≤</w:t>
            </w:r>
          </w:p>
        </w:tc>
        <w:tc>
          <w:tcPr>
            <w:tcW w:w="4795" w:type="dxa"/>
            <w:tcBorders>
              <w:bottom w:val="single" w:color="auto" w:sz="8" w:space="0"/>
            </w:tcBorders>
            <w:vAlign w:val="center"/>
          </w:tcPr>
          <w:p>
            <w:pPr>
              <w:pStyle w:val="50"/>
              <w:ind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0.5</w:t>
            </w:r>
          </w:p>
        </w:tc>
      </w:tr>
    </w:tbl>
    <w:p>
      <w:pPr>
        <w:pStyle w:val="82"/>
        <w:rPr>
          <w:rFonts w:hAnsi="黑体"/>
          <w:color w:val="auto"/>
        </w:rPr>
      </w:pPr>
      <w:r>
        <w:rPr>
          <w:rFonts w:hint="eastAsia" w:hAnsi="黑体"/>
          <w:color w:val="auto"/>
        </w:rPr>
        <w:t>微生物指标</w:t>
      </w:r>
    </w:p>
    <w:p>
      <w:pPr>
        <w:pStyle w:val="82"/>
        <w:numPr>
          <w:ilvl w:val="4"/>
          <w:numId w:val="0"/>
        </w:numPr>
        <w:ind w:firstLine="420" w:firstLineChars="200"/>
        <w:rPr>
          <w:rFonts w:hint="eastAsia" w:ascii="宋体" w:hAnsi="宋体" w:eastAsia="宋体" w:cs="宋体"/>
          <w:color w:val="auto"/>
        </w:rPr>
      </w:pPr>
      <w:r>
        <w:rPr>
          <w:rFonts w:hint="eastAsia" w:ascii="宋体" w:hAnsi="宋体" w:eastAsia="宋体" w:cs="宋体"/>
          <w:color w:val="auto"/>
        </w:rPr>
        <w:t>应</w:t>
      </w:r>
      <w:r>
        <w:rPr>
          <w:rFonts w:hint="eastAsia" w:ascii="宋体" w:hAnsi="宋体" w:eastAsia="宋体" w:cs="宋体"/>
          <w:color w:val="auto"/>
          <w:kern w:val="2"/>
        </w:rPr>
        <w:t>符合GB 7101的规定。</w:t>
      </w:r>
    </w:p>
    <w:bookmarkEnd w:id="71"/>
    <w:p>
      <w:pPr>
        <w:pStyle w:val="71"/>
        <w:spacing w:before="156" w:after="156"/>
        <w:rPr>
          <w:color w:val="auto"/>
        </w:rPr>
      </w:pPr>
      <w:bookmarkStart w:id="72" w:name="_Toc25936"/>
      <w:r>
        <w:rPr>
          <w:rFonts w:hint="eastAsia"/>
          <w:color w:val="auto"/>
        </w:rPr>
        <w:t>食品添加剂和</w:t>
      </w:r>
      <w:r>
        <w:rPr>
          <w:rFonts w:hint="eastAsia" w:hAnsi="黑体"/>
          <w:color w:val="auto"/>
          <w:lang w:bidi="ar"/>
        </w:rPr>
        <w:t>营养</w:t>
      </w:r>
      <w:r>
        <w:rPr>
          <w:rFonts w:hint="eastAsia"/>
          <w:color w:val="auto"/>
        </w:rPr>
        <w:t>强化剂</w:t>
      </w:r>
      <w:bookmarkEnd w:id="72"/>
    </w:p>
    <w:p>
      <w:pPr>
        <w:pStyle w:val="8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color w:val="auto"/>
        </w:rPr>
      </w:pPr>
      <w:r>
        <w:rPr>
          <w:rFonts w:hint="eastAsia" w:ascii="Times New Roman" w:eastAsia="宋体" w:cs="Times New Roman"/>
          <w:color w:val="auto"/>
          <w:kern w:val="2"/>
        </w:rPr>
        <w:t>食品添加剂的使用应符合GB 2760的规定</w:t>
      </w:r>
      <w:r>
        <w:rPr>
          <w:rFonts w:hint="eastAsia"/>
          <w:color w:val="auto"/>
        </w:rPr>
        <w:t>。</w:t>
      </w:r>
    </w:p>
    <w:p>
      <w:pPr>
        <w:pStyle w:val="8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imes New Roman" w:eastAsia="宋体" w:cs="Times New Roman"/>
          <w:color w:val="auto"/>
        </w:rPr>
      </w:pPr>
      <w:r>
        <w:rPr>
          <w:rFonts w:hint="eastAsia" w:ascii="Times New Roman" w:eastAsia="宋体" w:cs="Times New Roman"/>
          <w:color w:val="auto"/>
        </w:rPr>
        <w:t>食品营养强化剂的使用应符合GB 14880的规定</w:t>
      </w:r>
      <w:r>
        <w:rPr>
          <w:rFonts w:ascii="Times New Roman" w:eastAsia="宋体" w:cs="Times New Roman"/>
          <w:color w:val="auto"/>
        </w:rPr>
        <w:t>。</w:t>
      </w:r>
    </w:p>
    <w:p>
      <w:pPr>
        <w:pStyle w:val="71"/>
        <w:spacing w:before="156" w:after="156"/>
        <w:rPr>
          <w:color w:val="auto"/>
        </w:rPr>
      </w:pPr>
      <w:bookmarkStart w:id="73" w:name="_Toc29221"/>
      <w:r>
        <w:rPr>
          <w:rFonts w:hint="eastAsia"/>
          <w:color w:val="auto"/>
        </w:rPr>
        <w:t>净</w:t>
      </w:r>
      <w:r>
        <w:rPr>
          <w:rFonts w:hint="eastAsia" w:hAnsi="黑体"/>
          <w:color w:val="auto"/>
          <w:lang w:bidi="ar"/>
        </w:rPr>
        <w:t>含量</w:t>
      </w:r>
      <w:bookmarkEnd w:id="73"/>
    </w:p>
    <w:p>
      <w:pPr>
        <w:pStyle w:val="50"/>
        <w:rPr>
          <w:color w:val="auto"/>
        </w:rPr>
      </w:pPr>
      <w:r>
        <w:rPr>
          <w:rFonts w:hint="eastAsia"/>
          <w:color w:val="auto"/>
        </w:rPr>
        <w:t>应符合《定量包装商品计量监督管理办法》规定。</w:t>
      </w:r>
    </w:p>
    <w:p>
      <w:pPr>
        <w:pStyle w:val="47"/>
        <w:rPr>
          <w:rFonts w:hint="eastAsia"/>
          <w:color w:val="auto"/>
        </w:rPr>
      </w:pPr>
      <w:bookmarkStart w:id="74" w:name="_Toc23371"/>
      <w:r>
        <w:rPr>
          <w:rFonts w:hint="eastAsia"/>
          <w:color w:val="auto"/>
        </w:rPr>
        <w:t>测试方法</w:t>
      </w:r>
      <w:bookmarkEnd w:id="74"/>
    </w:p>
    <w:p>
      <w:pPr>
        <w:pStyle w:val="62"/>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kern w:val="2"/>
          <w:szCs w:val="22"/>
        </w:rPr>
      </w:pPr>
      <w:bookmarkStart w:id="75" w:name="_Toc4597"/>
      <w:r>
        <w:rPr>
          <w:rFonts w:hint="eastAsia" w:ascii="黑体" w:hAnsi="黑体" w:eastAsia="黑体" w:cs="黑体"/>
          <w:color w:val="auto"/>
          <w:kern w:val="2"/>
          <w:szCs w:val="22"/>
        </w:rPr>
        <w:t>感官要求</w:t>
      </w:r>
      <w:bookmarkEnd w:id="75"/>
    </w:p>
    <w:p>
      <w:pPr>
        <w:pStyle w:val="71"/>
        <w:spacing w:before="156" w:after="156"/>
        <w:rPr>
          <w:color w:val="auto"/>
        </w:rPr>
      </w:pPr>
      <w:r>
        <w:rPr>
          <w:rFonts w:hint="eastAsia" w:hAnsi="黑体"/>
          <w:color w:val="auto"/>
        </w:rPr>
        <w:t>液态</w:t>
      </w:r>
    </w:p>
    <w:p>
      <w:pPr>
        <w:autoSpaceDE w:val="0"/>
        <w:autoSpaceDN w:val="0"/>
        <w:ind w:firstLine="420" w:firstLineChars="200"/>
        <w:rPr>
          <w:rFonts w:ascii="Times New Roman" w:hAnsi="Times New Roman" w:eastAsia="宋体" w:cs="Times New Roman"/>
          <w:color w:val="auto"/>
          <w:kern w:val="0"/>
        </w:rPr>
      </w:pPr>
      <w:r>
        <w:rPr>
          <w:rFonts w:hint="eastAsia" w:ascii="Times New Roman" w:hAnsi="Times New Roman" w:eastAsia="宋体" w:cs="Times New Roman"/>
          <w:color w:val="auto"/>
          <w:kern w:val="0"/>
        </w:rPr>
        <w:t>取样品适量于无色、洁净、干燥的烧杯中，置于明亮处，观察其色泽和透明状态，检查其有无正常视力可见异物；取适量样品嗅其气味，放入口中品尝其滋味（品尝每个样品前，应用清水漱口）。</w:t>
      </w:r>
    </w:p>
    <w:p>
      <w:pPr>
        <w:pStyle w:val="71"/>
        <w:spacing w:before="156" w:after="156"/>
        <w:rPr>
          <w:rFonts w:hAnsi="黑体"/>
          <w:color w:val="auto"/>
        </w:rPr>
      </w:pPr>
      <w:r>
        <w:rPr>
          <w:rFonts w:hint="eastAsia" w:hAnsi="黑体"/>
          <w:color w:val="auto"/>
        </w:rPr>
        <w:t>固态</w:t>
      </w:r>
    </w:p>
    <w:p>
      <w:pPr>
        <w:autoSpaceDE w:val="0"/>
        <w:autoSpaceDN w:val="0"/>
        <w:ind w:firstLine="420" w:firstLineChars="200"/>
        <w:rPr>
          <w:color w:val="auto"/>
        </w:rPr>
      </w:pPr>
      <w:r>
        <w:rPr>
          <w:rFonts w:hint="eastAsia" w:ascii="Times New Roman" w:hAnsi="Times New Roman" w:eastAsia="宋体" w:cs="Times New Roman"/>
          <w:color w:val="auto"/>
          <w:kern w:val="0"/>
        </w:rPr>
        <w:t>取适量样品置于清洁、干燥的白瓷盘中，在合适的自然光下，观察样品的颜色和状态，检查其有无肉眼可见杂质；取适量样品嗅其味，放入口中品尝其滋味（品尝每个样品前，应用清水漱口）。</w:t>
      </w:r>
    </w:p>
    <w:p>
      <w:pPr>
        <w:pStyle w:val="62"/>
        <w:keepNext w:val="0"/>
        <w:keepLines w:val="0"/>
        <w:pageBreakBefore w:val="0"/>
        <w:widowControl/>
        <w:kinsoku/>
        <w:wordWrap/>
        <w:overflowPunct/>
        <w:topLinePunct w:val="0"/>
        <w:autoSpaceDE/>
        <w:autoSpaceDN/>
        <w:bidi w:val="0"/>
        <w:adjustRightInd/>
        <w:snapToGrid/>
        <w:textAlignment w:val="auto"/>
        <w:rPr>
          <w:rFonts w:ascii="宋体" w:cs="宋体"/>
          <w:color w:val="auto"/>
        </w:rPr>
      </w:pPr>
      <w:bookmarkStart w:id="76" w:name="_Toc8468"/>
      <w:r>
        <w:rPr>
          <w:rFonts w:hint="eastAsia" w:hAnsi="黑体"/>
          <w:color w:val="auto"/>
        </w:rPr>
        <w:t>理化指标</w:t>
      </w:r>
      <w:bookmarkEnd w:id="76"/>
    </w:p>
    <w:p>
      <w:pPr>
        <w:pStyle w:val="71"/>
        <w:spacing w:before="156" w:after="156"/>
        <w:rPr>
          <w:strike w:val="0"/>
          <w:color w:val="auto"/>
        </w:rPr>
      </w:pPr>
      <w:r>
        <w:rPr>
          <w:rFonts w:hint="eastAsia"/>
          <w:strike w:val="0"/>
          <w:dstrike w:val="0"/>
          <w:color w:val="auto"/>
        </w:rPr>
        <w:t>蛋白质</w:t>
      </w:r>
      <w:r>
        <w:rPr>
          <w:rFonts w:hint="eastAsia"/>
          <w:strike w:val="0"/>
          <w:dstrike w:val="0"/>
          <w:color w:val="auto"/>
          <w:lang w:val="en-US" w:eastAsia="zh-CN"/>
        </w:rPr>
        <w:t>（粗蛋白）</w:t>
      </w:r>
    </w:p>
    <w:p>
      <w:pPr>
        <w:pStyle w:val="50"/>
        <w:rPr>
          <w:rFonts w:hint="eastAsia" w:ascii="宋体" w:hAnsi="宋体" w:eastAsia="宋体" w:cs="宋体"/>
          <w:color w:val="auto"/>
          <w:kern w:val="0"/>
          <w:lang w:bidi="ar"/>
        </w:rPr>
      </w:pPr>
      <w:r>
        <w:rPr>
          <w:rFonts w:hint="eastAsia" w:ascii="宋体" w:hAnsi="宋体" w:eastAsia="宋体" w:cs="宋体"/>
          <w:color w:val="auto"/>
        </w:rPr>
        <w:t>按GB</w:t>
      </w:r>
      <w:r>
        <w:rPr>
          <w:rFonts w:hint="eastAsia" w:ascii="宋体" w:hAnsi="宋体" w:eastAsia="宋体" w:cs="宋体"/>
          <w:color w:val="auto"/>
          <w:lang w:val="en-US" w:eastAsia="zh-CN"/>
        </w:rPr>
        <w:t xml:space="preserve"> </w:t>
      </w:r>
      <w:r>
        <w:rPr>
          <w:rFonts w:hint="eastAsia" w:ascii="宋体" w:hAnsi="宋体" w:eastAsia="宋体" w:cs="宋体"/>
          <w:color w:val="auto"/>
        </w:rPr>
        <w:t>5009.5规定的方法测定。折算系数为6.25。</w:t>
      </w:r>
    </w:p>
    <w:p>
      <w:pPr>
        <w:pStyle w:val="71"/>
        <w:spacing w:before="156" w:after="156"/>
        <w:rPr>
          <w:color w:val="auto"/>
          <w:highlight w:val="none"/>
        </w:rPr>
      </w:pPr>
      <w:r>
        <w:rPr>
          <w:rFonts w:hint="eastAsia"/>
          <w:color w:val="auto"/>
          <w:highlight w:val="none"/>
        </w:rPr>
        <w:t>肽含量</w:t>
      </w:r>
    </w:p>
    <w:p>
      <w:pPr>
        <w:pStyle w:val="50"/>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6.2.2.1方法提要</w:t>
      </w:r>
    </w:p>
    <w:p>
      <w:pPr>
        <w:pStyle w:val="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低分子质量的蛋白质水解物（包括低聚肽及游离氨基酸）可溶于三氯乙酸溶液；高分子质量的蛋白质在三氯乙酸溶液中易沉淀。样品经三氯乙酸溶液溶解后，离心分离出沉淀蛋白质，收集离心清液。按照GB/T5009.5规定的方法测定离心清液的酸溶蛋白质水解物含量，酸溶蛋白质水解物含量减去游离氨基酸含量得到</w:t>
      </w:r>
      <w:r>
        <w:rPr>
          <w:rFonts w:hint="eastAsia" w:ascii="宋体" w:hAnsi="宋体" w:eastAsia="宋体" w:cs="宋体"/>
          <w:strike w:val="0"/>
          <w:dstrike w:val="0"/>
          <w:color w:val="auto"/>
          <w:highlight w:val="none"/>
          <w:lang w:val="en-US" w:eastAsia="zh-CN"/>
        </w:rPr>
        <w:t>肽</w:t>
      </w:r>
      <w:r>
        <w:rPr>
          <w:rFonts w:hint="eastAsia" w:ascii="宋体" w:hAnsi="宋体" w:eastAsia="宋体" w:cs="宋体"/>
          <w:color w:val="auto"/>
          <w:highlight w:val="none"/>
          <w:lang w:val="en-US" w:eastAsia="zh-CN"/>
        </w:rPr>
        <w:t>含量。</w:t>
      </w:r>
    </w:p>
    <w:p>
      <w:pPr>
        <w:pStyle w:val="50"/>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6.2.2.2分析步骤</w:t>
      </w:r>
    </w:p>
    <w:p>
      <w:pPr>
        <w:pStyle w:val="50"/>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6.2.2.2.1  酸溶蛋白质水解物含量的测定</w:t>
      </w:r>
    </w:p>
    <w:p>
      <w:pPr>
        <w:pStyle w:val="50"/>
        <w:rPr>
          <w:rFonts w:hint="eastAsia" w:cs="Times New Roman"/>
          <w:color w:val="auto"/>
          <w:highlight w:val="none"/>
          <w:lang w:val="en-US" w:eastAsia="zh-CN"/>
        </w:rPr>
      </w:pPr>
      <w:r>
        <w:rPr>
          <w:rFonts w:hint="eastAsia" w:cs="Times New Roman"/>
          <w:color w:val="auto"/>
          <w:highlight w:val="none"/>
          <w:lang w:val="en-US" w:eastAsia="zh-CN"/>
        </w:rPr>
        <w:t>固体样品称取2g(精确至0.001g)，液体样品根据浓度换算为干物质含量为2g，加入15%三氯乙酸溶10mL液，混合均匀，静置10min。将样品溶液在4000r/min下离心10min后，取全部离心清液，按GB/T5009.5规定的方法测定清液的蛋白质水解物含量，计算出样品中酸溶蛋白</w:t>
      </w:r>
      <w:r>
        <w:rPr>
          <w:rFonts w:hint="eastAsia"/>
          <w:color w:val="auto"/>
          <w:highlight w:val="none"/>
          <w:lang w:val="en-US" w:eastAsia="zh-CN"/>
        </w:rPr>
        <w:t>质</w:t>
      </w:r>
      <w:r>
        <w:rPr>
          <w:rFonts w:hint="eastAsia" w:cs="Times New Roman"/>
          <w:color w:val="auto"/>
          <w:highlight w:val="none"/>
          <w:lang w:val="en-US" w:eastAsia="zh-CN"/>
        </w:rPr>
        <w:t>水解物含量。蛋白质换算系数为6.25，检验结果根据样品的干燥失重，折算为干基。</w:t>
      </w:r>
    </w:p>
    <w:p>
      <w:pPr>
        <w:pStyle w:val="50"/>
        <w:keepNext w:val="0"/>
        <w:keepLines w:val="0"/>
        <w:pageBreakBefore w:val="0"/>
        <w:widowControl w:val="0"/>
        <w:kinsoku/>
        <w:wordWrap/>
        <w:overflowPunct/>
        <w:topLinePunct w:val="0"/>
        <w:autoSpaceDE/>
        <w:autoSpaceDN/>
        <w:bidi w:val="0"/>
        <w:adjustRightInd w:val="0"/>
        <w:snapToGrid/>
        <w:spacing w:before="157" w:beforeLines="50" w:after="157" w:afterLines="50"/>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6.2.2.2.2游离氨基酸含量的测定</w:t>
      </w:r>
    </w:p>
    <w:p>
      <w:pPr>
        <w:pStyle w:val="50"/>
        <w:rPr>
          <w:rFonts w:hint="default" w:eastAsia="宋体" w:cs="Times New Roman"/>
          <w:color w:val="auto"/>
          <w:highlight w:val="none"/>
          <w:lang w:val="en-US" w:eastAsia="zh-CN"/>
        </w:rPr>
      </w:pPr>
      <w:r>
        <w:rPr>
          <w:rFonts w:hint="eastAsia" w:cs="Times New Roman"/>
          <w:color w:val="auto"/>
          <w:highlight w:val="none"/>
          <w:lang w:val="en-US" w:eastAsia="zh-CN"/>
        </w:rPr>
        <w:t>固体样品称取0.02g～0.03g，精确至0.0001g，液体样品吸取1mL，用3.5%磺基水杨酸溶液溶解均匀。将样品溶液转移至50mL容量瓶中，定容。将样品溶液在转速为4000r/min离心机上离心5min，取离心清液，再用0.45</w:t>
      </w:r>
      <w:r>
        <w:rPr>
          <w:rFonts w:ascii="Helvetica" w:hAnsi="Helvetica" w:eastAsia="Helvetica" w:cs="Helvetica"/>
          <w:i w:val="0"/>
          <w:iCs w:val="0"/>
          <w:caps w:val="0"/>
          <w:color w:val="auto"/>
          <w:spacing w:val="0"/>
          <w:sz w:val="16"/>
          <w:szCs w:val="16"/>
          <w:highlight w:val="none"/>
          <w:shd w:val="clear" w:fill="FFFFFF"/>
        </w:rPr>
        <w:t>μm</w:t>
      </w:r>
      <w:r>
        <w:rPr>
          <w:rFonts w:hint="eastAsia" w:cs="Times New Roman"/>
          <w:color w:val="auto"/>
          <w:highlight w:val="none"/>
          <w:lang w:val="en-US" w:eastAsia="zh-CN"/>
        </w:rPr>
        <w:t>微孔滤膜过滤离心清液，将滤液转移至50mL容量瓶中，定容摇匀备用，然后按照GB/T 5009.124规定的方法，用氨基酸分析仪测定其游离氨基酸含量。</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color w:val="auto"/>
        </w:rPr>
      </w:pPr>
      <w:r>
        <w:rPr>
          <w:rFonts w:hint="eastAsia"/>
          <w:color w:val="auto"/>
        </w:rPr>
        <w:t>相对分子质量小于＜10000u、＜1000u的蛋白质水解物所占比例</w:t>
      </w:r>
    </w:p>
    <w:p>
      <w:pPr>
        <w:pStyle w:val="12"/>
        <w:ind w:firstLine="420" w:firstLineChars="200"/>
        <w:rPr>
          <w:rFonts w:hint="eastAsia" w:ascii="宋体" w:hAnsi="宋体" w:eastAsia="宋体" w:cs="宋体"/>
          <w:color w:val="auto"/>
        </w:rPr>
      </w:pPr>
      <w:r>
        <w:rPr>
          <w:rFonts w:hint="eastAsia" w:ascii="宋体" w:hAnsi="宋体" w:eastAsia="宋体" w:cs="宋体"/>
          <w:color w:val="auto"/>
        </w:rPr>
        <w:t>相对分子质量＜10000u的蛋白质水解物所占比例按GB 31645规定的方法测定</w:t>
      </w:r>
      <w:r>
        <w:rPr>
          <w:rFonts w:hint="eastAsia" w:ascii="宋体" w:hAnsi="宋体" w:eastAsia="宋体" w:cs="宋体"/>
          <w:color w:val="auto"/>
          <w:lang w:eastAsia="zh-CN"/>
        </w:rPr>
        <w:t>。</w:t>
      </w:r>
      <w:r>
        <w:rPr>
          <w:rFonts w:hint="eastAsia" w:ascii="宋体" w:hAnsi="宋体" w:eastAsia="宋体" w:cs="宋体"/>
          <w:lang w:val="en-US" w:eastAsia="zh-CN"/>
        </w:rPr>
        <w:t>液体样品，在该方法的基础上，将样品称取量改为1mL</w:t>
      </w:r>
      <w:r>
        <w:rPr>
          <w:rFonts w:hint="eastAsia" w:ascii="宋体" w:hAnsi="宋体" w:eastAsia="宋体" w:cs="宋体"/>
          <w:color w:val="auto"/>
        </w:rPr>
        <w:t>。</w:t>
      </w:r>
    </w:p>
    <w:p>
      <w:pPr>
        <w:pStyle w:val="12"/>
        <w:ind w:firstLine="420" w:firstLineChars="200"/>
        <w:rPr>
          <w:rFonts w:hint="eastAsia" w:ascii="宋体" w:hAnsi="宋体" w:eastAsia="宋体" w:cs="宋体"/>
          <w:color w:val="auto"/>
        </w:rPr>
      </w:pPr>
      <w:r>
        <w:rPr>
          <w:rFonts w:hint="eastAsia" w:ascii="宋体" w:hAnsi="宋体" w:eastAsia="宋体" w:cs="宋体"/>
          <w:color w:val="auto"/>
        </w:rPr>
        <w:t>相对分子质量＜1000u的蛋白质水解物所占比例按GB/T 22729规定的方法测定</w:t>
      </w:r>
      <w:r>
        <w:rPr>
          <w:rFonts w:hint="eastAsia" w:ascii="宋体" w:hAnsi="宋体" w:eastAsia="宋体" w:cs="宋体"/>
          <w:lang w:eastAsia="zh-CN"/>
        </w:rPr>
        <w:t>，</w:t>
      </w:r>
      <w:r>
        <w:rPr>
          <w:rFonts w:hint="eastAsia" w:ascii="宋体" w:hAnsi="宋体" w:eastAsia="宋体" w:cs="宋体"/>
          <w:lang w:val="en-US" w:eastAsia="zh-CN"/>
        </w:rPr>
        <w:t>液体样品，在该方法的基础上，将样品称取量改为1mL</w:t>
      </w:r>
      <w:r>
        <w:rPr>
          <w:rFonts w:hint="eastAsia" w:ascii="宋体" w:hAnsi="宋体" w:eastAsia="宋体" w:cs="宋体"/>
          <w:color w:val="auto"/>
        </w:rPr>
        <w:t>。</w:t>
      </w:r>
    </w:p>
    <w:p>
      <w:pPr>
        <w:pStyle w:val="71"/>
        <w:spacing w:before="156" w:after="156"/>
        <w:rPr>
          <w:color w:val="auto"/>
        </w:rPr>
      </w:pPr>
      <w:r>
        <w:rPr>
          <w:rFonts w:hint="eastAsia"/>
          <w:color w:val="auto"/>
        </w:rPr>
        <w:t>水分</w:t>
      </w:r>
    </w:p>
    <w:p>
      <w:pPr>
        <w:pStyle w:val="50"/>
        <w:rPr>
          <w:rFonts w:hint="eastAsia" w:ascii="宋体" w:hAnsi="宋体" w:eastAsia="宋体" w:cs="宋体"/>
          <w:color w:val="auto"/>
        </w:rPr>
      </w:pPr>
      <w:r>
        <w:rPr>
          <w:rFonts w:hint="eastAsia" w:ascii="宋体" w:hAnsi="宋体" w:eastAsia="宋体" w:cs="宋体"/>
          <w:color w:val="auto"/>
        </w:rPr>
        <w:t>按GB 5009.3规定的方法测定。</w:t>
      </w:r>
    </w:p>
    <w:p>
      <w:pPr>
        <w:pStyle w:val="71"/>
        <w:spacing w:before="156" w:after="156"/>
        <w:rPr>
          <w:color w:val="auto"/>
        </w:rPr>
      </w:pPr>
      <w:r>
        <w:rPr>
          <w:rFonts w:hint="eastAsia" w:hAnsi="黑体"/>
          <w:color w:val="auto"/>
        </w:rPr>
        <w:t>灰分</w:t>
      </w:r>
    </w:p>
    <w:p>
      <w:pPr>
        <w:pStyle w:val="50"/>
        <w:rPr>
          <w:rFonts w:hint="eastAsia" w:ascii="宋体" w:hAnsi="宋体" w:eastAsia="宋体" w:cs="宋体"/>
          <w:color w:val="auto"/>
        </w:rPr>
      </w:pPr>
      <w:r>
        <w:rPr>
          <w:rFonts w:hint="eastAsia" w:ascii="宋体" w:hAnsi="宋体" w:eastAsia="宋体" w:cs="宋体"/>
          <w:color w:val="auto"/>
        </w:rPr>
        <w:t>按GB 5009.4规定的方法测定。</w:t>
      </w:r>
    </w:p>
    <w:p>
      <w:pPr>
        <w:pStyle w:val="71"/>
        <w:spacing w:before="156" w:after="156"/>
        <w:rPr>
          <w:color w:val="auto"/>
        </w:rPr>
      </w:pPr>
      <w:r>
        <w:rPr>
          <w:rFonts w:hint="eastAsia"/>
          <w:color w:val="auto"/>
        </w:rPr>
        <w:t>8种人体必需氨基酸含量之和</w:t>
      </w:r>
    </w:p>
    <w:p>
      <w:pPr>
        <w:pStyle w:val="50"/>
        <w:rPr>
          <w:rFonts w:hint="eastAsia" w:ascii="宋体" w:hAnsi="宋体" w:eastAsia="宋体" w:cs="宋体"/>
          <w:color w:val="auto"/>
        </w:rPr>
      </w:pPr>
      <w:r>
        <w:rPr>
          <w:rFonts w:hint="eastAsia" w:ascii="宋体" w:hAnsi="宋体" w:eastAsia="宋体" w:cs="宋体"/>
          <w:color w:val="auto"/>
        </w:rPr>
        <w:t>按GB 5009.124测定。</w:t>
      </w:r>
    </w:p>
    <w:p>
      <w:pPr>
        <w:pStyle w:val="62"/>
        <w:rPr>
          <w:color w:val="auto"/>
        </w:rPr>
      </w:pPr>
      <w:bookmarkStart w:id="77" w:name="_Toc30419"/>
      <w:r>
        <w:rPr>
          <w:rFonts w:hint="eastAsia"/>
          <w:color w:val="auto"/>
        </w:rPr>
        <w:t>卫生指标</w:t>
      </w:r>
      <w:bookmarkEnd w:id="77"/>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Ansi="黑体"/>
          <w:color w:val="auto"/>
        </w:rPr>
      </w:pPr>
      <w:r>
        <w:rPr>
          <w:rFonts w:hint="eastAsia"/>
          <w:color w:val="auto"/>
        </w:rPr>
        <w:t>无机</w:t>
      </w:r>
      <w:r>
        <w:rPr>
          <w:rFonts w:hint="eastAsia" w:hAnsi="黑体"/>
          <w:color w:val="auto"/>
        </w:rPr>
        <w:t>砷</w:t>
      </w:r>
    </w:p>
    <w:p>
      <w:pPr>
        <w:pStyle w:val="50"/>
        <w:rPr>
          <w:rFonts w:hint="eastAsia" w:ascii="宋体" w:hAnsi="宋体" w:eastAsia="宋体" w:cs="宋体"/>
          <w:color w:val="auto"/>
        </w:rPr>
      </w:pPr>
      <w:r>
        <w:rPr>
          <w:rFonts w:hint="eastAsia" w:ascii="宋体" w:hAnsi="宋体" w:eastAsia="宋体" w:cs="宋体"/>
          <w:color w:val="auto"/>
        </w:rPr>
        <w:t>按GB 5009.11规定的方法测定。</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color w:val="auto"/>
        </w:rPr>
      </w:pPr>
      <w:r>
        <w:rPr>
          <w:rFonts w:hint="eastAsia"/>
          <w:color w:val="auto"/>
        </w:rPr>
        <w:t>铅</w:t>
      </w:r>
    </w:p>
    <w:p>
      <w:pPr>
        <w:pStyle w:val="50"/>
        <w:rPr>
          <w:rFonts w:hint="eastAsia" w:ascii="宋体" w:hAnsi="宋体" w:eastAsia="宋体" w:cs="宋体"/>
          <w:color w:val="auto"/>
        </w:rPr>
      </w:pPr>
      <w:r>
        <w:rPr>
          <w:rFonts w:hint="eastAsia" w:ascii="宋体" w:hAnsi="宋体" w:eastAsia="宋体" w:cs="宋体"/>
          <w:color w:val="auto"/>
        </w:rPr>
        <w:t>按GB 5009.12规定的方法测定。</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color w:val="auto"/>
        </w:rPr>
      </w:pPr>
      <w:r>
        <w:rPr>
          <w:rFonts w:hint="eastAsia"/>
          <w:color w:val="auto"/>
        </w:rPr>
        <w:t>镉</w:t>
      </w:r>
    </w:p>
    <w:p>
      <w:pPr>
        <w:pStyle w:val="50"/>
        <w:rPr>
          <w:rFonts w:hint="eastAsia" w:ascii="宋体" w:hAnsi="宋体" w:eastAsia="宋体" w:cs="宋体"/>
          <w:color w:val="auto"/>
        </w:rPr>
      </w:pPr>
      <w:r>
        <w:rPr>
          <w:rFonts w:hint="eastAsia" w:ascii="宋体" w:hAnsi="宋体" w:eastAsia="宋体" w:cs="宋体"/>
          <w:color w:val="auto"/>
        </w:rPr>
        <w:t>按GB 5009.15规定的方法测定。</w:t>
      </w:r>
    </w:p>
    <w:p>
      <w:pPr>
        <w:pStyle w:val="71"/>
        <w:spacing w:before="156" w:after="156"/>
        <w:rPr>
          <w:rFonts w:hint="eastAsia"/>
          <w:color w:val="auto"/>
        </w:rPr>
      </w:pPr>
      <w:r>
        <w:rPr>
          <w:rFonts w:hint="eastAsia"/>
          <w:color w:val="auto"/>
        </w:rPr>
        <w:t>甲基汞</w:t>
      </w:r>
    </w:p>
    <w:p>
      <w:pPr>
        <w:pStyle w:val="50"/>
        <w:rPr>
          <w:rFonts w:hint="eastAsia" w:ascii="宋体" w:hAnsi="宋体" w:eastAsia="宋体" w:cs="宋体"/>
          <w:color w:val="auto"/>
        </w:rPr>
      </w:pPr>
      <w:r>
        <w:rPr>
          <w:rFonts w:hint="eastAsia" w:ascii="宋体" w:hAnsi="宋体" w:eastAsia="宋体" w:cs="宋体"/>
          <w:color w:val="auto"/>
        </w:rPr>
        <w:t>按GB 5009.17规定的方法测定。</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color w:val="auto"/>
        </w:rPr>
      </w:pPr>
      <w:r>
        <w:rPr>
          <w:rFonts w:hint="eastAsia"/>
          <w:color w:val="auto"/>
        </w:rPr>
        <w:t>铬</w:t>
      </w:r>
    </w:p>
    <w:p>
      <w:pPr>
        <w:pStyle w:val="50"/>
        <w:rPr>
          <w:rFonts w:hint="eastAsia" w:ascii="宋体" w:hAnsi="宋体" w:eastAsia="宋体" w:cs="宋体"/>
          <w:color w:val="auto"/>
        </w:rPr>
      </w:pPr>
      <w:r>
        <w:rPr>
          <w:rFonts w:hint="eastAsia" w:ascii="宋体" w:hAnsi="宋体" w:eastAsia="宋体" w:cs="宋体"/>
          <w:color w:val="auto"/>
        </w:rPr>
        <w:t>按GB 5009.123规定的方法测定。</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color w:val="auto"/>
        </w:rPr>
      </w:pPr>
      <w:r>
        <w:rPr>
          <w:rFonts w:hint="eastAsia"/>
          <w:color w:val="auto"/>
        </w:rPr>
        <w:t>N-二甲基亚硝胺</w:t>
      </w:r>
    </w:p>
    <w:p>
      <w:pPr>
        <w:pStyle w:val="50"/>
        <w:rPr>
          <w:rFonts w:hint="eastAsia" w:ascii="宋体" w:hAnsi="宋体" w:eastAsia="宋体" w:cs="宋体"/>
          <w:color w:val="auto"/>
        </w:rPr>
      </w:pPr>
      <w:r>
        <w:rPr>
          <w:rFonts w:hint="eastAsia" w:ascii="宋体" w:hAnsi="宋体" w:eastAsia="宋体" w:cs="宋体"/>
          <w:color w:val="auto"/>
        </w:rPr>
        <w:t>按GB 5009.26规定的方法测定。</w:t>
      </w:r>
    </w:p>
    <w:p>
      <w:pPr>
        <w:pStyle w:val="71"/>
        <w:spacing w:before="156" w:after="156"/>
        <w:rPr>
          <w:rFonts w:hAnsi="黑体"/>
          <w:color w:val="auto"/>
          <w:sz w:val="21"/>
          <w:szCs w:val="21"/>
        </w:rPr>
      </w:pPr>
      <w:r>
        <w:rPr>
          <w:rFonts w:hint="eastAsia"/>
          <w:color w:val="auto"/>
          <w:sz w:val="21"/>
          <w:szCs w:val="21"/>
        </w:rPr>
        <w:t>多氯联苯</w:t>
      </w:r>
    </w:p>
    <w:p>
      <w:pPr>
        <w:pStyle w:val="50"/>
        <w:rPr>
          <w:rFonts w:hint="eastAsia" w:ascii="宋体" w:hAnsi="宋体" w:eastAsia="宋体" w:cs="宋体"/>
          <w:color w:val="auto"/>
        </w:rPr>
      </w:pPr>
      <w:r>
        <w:rPr>
          <w:rFonts w:hint="eastAsia" w:ascii="宋体" w:hAnsi="宋体" w:eastAsia="宋体" w:cs="宋体"/>
          <w:color w:val="auto"/>
        </w:rPr>
        <w:t>按GB 5009.190规定的方法测定。</w:t>
      </w:r>
    </w:p>
    <w:p>
      <w:pPr>
        <w:pStyle w:val="71"/>
        <w:spacing w:before="156" w:after="156"/>
        <w:rPr>
          <w:rFonts w:hAnsi="黑体"/>
          <w:color w:val="auto"/>
        </w:rPr>
      </w:pPr>
      <w:r>
        <w:rPr>
          <w:rFonts w:hint="eastAsia"/>
          <w:color w:val="auto"/>
        </w:rPr>
        <w:t>微生物限量</w:t>
      </w:r>
    </w:p>
    <w:p>
      <w:pPr>
        <w:pStyle w:val="50"/>
        <w:rPr>
          <w:rFonts w:hint="eastAsia" w:ascii="宋体" w:hAnsi="宋体" w:eastAsia="宋体" w:cs="宋体"/>
          <w:color w:val="auto"/>
        </w:rPr>
      </w:pPr>
      <w:r>
        <w:rPr>
          <w:rFonts w:hint="eastAsia" w:ascii="宋体" w:hAnsi="宋体" w:eastAsia="宋体" w:cs="宋体"/>
          <w:color w:val="auto"/>
        </w:rPr>
        <w:t>按GB 7101规定的方法测定。</w:t>
      </w:r>
    </w:p>
    <w:p>
      <w:pPr>
        <w:pStyle w:val="62"/>
        <w:rPr>
          <w:color w:val="auto"/>
        </w:rPr>
      </w:pPr>
      <w:bookmarkStart w:id="78" w:name="_Toc22259"/>
      <w:r>
        <w:rPr>
          <w:rFonts w:hint="eastAsia"/>
          <w:color w:val="auto"/>
        </w:rPr>
        <w:t>净含量</w:t>
      </w:r>
      <w:bookmarkEnd w:id="78"/>
    </w:p>
    <w:p>
      <w:pPr>
        <w:pStyle w:val="50"/>
        <w:rPr>
          <w:rFonts w:hint="eastAsia" w:ascii="宋体" w:hAnsi="宋体" w:eastAsia="宋体" w:cs="宋体"/>
          <w:color w:val="auto"/>
        </w:rPr>
      </w:pPr>
      <w:bookmarkStart w:id="79" w:name="_Toc22394"/>
      <w:bookmarkStart w:id="80" w:name="_Toc18000"/>
      <w:bookmarkStart w:id="81" w:name="_Toc1655"/>
      <w:bookmarkStart w:id="82" w:name="_Toc2420"/>
      <w:bookmarkStart w:id="83" w:name="_Toc4711"/>
      <w:r>
        <w:rPr>
          <w:rFonts w:hint="eastAsia" w:ascii="宋体" w:hAnsi="宋体" w:eastAsia="宋体" w:cs="宋体"/>
          <w:color w:val="auto"/>
        </w:rPr>
        <w:t>按JJF 1070执行。</w:t>
      </w:r>
      <w:bookmarkEnd w:id="79"/>
      <w:bookmarkEnd w:id="80"/>
      <w:bookmarkEnd w:id="81"/>
      <w:bookmarkEnd w:id="82"/>
      <w:bookmarkEnd w:id="83"/>
    </w:p>
    <w:p>
      <w:pPr>
        <w:pStyle w:val="47"/>
        <w:rPr>
          <w:rFonts w:hint="eastAsia"/>
          <w:color w:val="auto"/>
        </w:rPr>
      </w:pPr>
      <w:bookmarkStart w:id="84" w:name="_Toc3267"/>
      <w:r>
        <w:rPr>
          <w:rFonts w:hint="eastAsia"/>
          <w:color w:val="auto"/>
        </w:rPr>
        <w:t>检验规则</w:t>
      </w:r>
      <w:bookmarkEnd w:id="84"/>
    </w:p>
    <w:p>
      <w:pPr>
        <w:pStyle w:val="62"/>
        <w:rPr>
          <w:color w:val="auto"/>
        </w:rPr>
      </w:pPr>
      <w:bookmarkStart w:id="85" w:name="_Toc5875"/>
      <w:r>
        <w:rPr>
          <w:rFonts w:hint="eastAsia"/>
          <w:color w:val="auto"/>
        </w:rPr>
        <w:t>检验分类</w:t>
      </w:r>
      <w:bookmarkEnd w:id="85"/>
    </w:p>
    <w:p>
      <w:pPr>
        <w:pStyle w:val="71"/>
        <w:spacing w:before="156" w:after="156"/>
        <w:rPr>
          <w:color w:val="auto"/>
        </w:rPr>
      </w:pPr>
      <w:r>
        <w:rPr>
          <w:rFonts w:hint="eastAsia"/>
          <w:color w:val="auto"/>
        </w:rPr>
        <w:t>出厂检验</w:t>
      </w:r>
    </w:p>
    <w:p>
      <w:pPr>
        <w:pStyle w:val="50"/>
        <w:rPr>
          <w:rFonts w:hint="eastAsia" w:ascii="宋体" w:hAnsi="宋体" w:eastAsia="宋体" w:cs="宋体"/>
          <w:color w:val="auto"/>
        </w:rPr>
      </w:pPr>
      <w:r>
        <w:rPr>
          <w:rFonts w:hint="eastAsia" w:ascii="宋体" w:hAnsi="宋体" w:eastAsia="宋体" w:cs="宋体"/>
          <w:color w:val="auto"/>
        </w:rPr>
        <w:t>出厂检验的项目包括：感官要求，蛋白质，肽含量，相对分子质量小于10 000u、＜1 000u的蛋白质水解物所占比例，水分，灰分，菌落总数，大肠菌群。</w:t>
      </w:r>
    </w:p>
    <w:p>
      <w:pPr>
        <w:pStyle w:val="71"/>
        <w:spacing w:before="156" w:after="156"/>
        <w:rPr>
          <w:color w:val="auto"/>
        </w:rPr>
      </w:pPr>
      <w:r>
        <w:rPr>
          <w:rFonts w:hint="eastAsia"/>
          <w:color w:val="auto"/>
        </w:rPr>
        <w:t>型式检验</w:t>
      </w:r>
    </w:p>
    <w:p>
      <w:pPr>
        <w:pStyle w:val="50"/>
        <w:rPr>
          <w:color w:val="auto"/>
        </w:rPr>
      </w:pPr>
      <w:r>
        <w:rPr>
          <w:rFonts w:hint="eastAsia"/>
          <w:color w:val="auto"/>
        </w:rPr>
        <w:t>型式检验的项目为5.3规定的全部项目。</w:t>
      </w:r>
    </w:p>
    <w:p>
      <w:pPr>
        <w:pStyle w:val="71"/>
        <w:numPr>
          <w:ilvl w:val="3"/>
          <w:numId w:val="0"/>
        </w:numPr>
        <w:spacing w:before="0" w:beforeLines="0" w:after="0" w:afterLines="0"/>
        <w:ind w:firstLine="420" w:firstLineChars="200"/>
        <w:rPr>
          <w:rFonts w:cs="Times New Roman"/>
          <w:color w:val="auto"/>
        </w:rPr>
      </w:pPr>
      <w:r>
        <w:rPr>
          <w:rFonts w:hint="eastAsia" w:ascii="Times New Roman" w:eastAsia="宋体" w:cs="Times New Roman"/>
          <w:color w:val="auto"/>
        </w:rPr>
        <w:t>正常生产的产品</w:t>
      </w:r>
      <w:r>
        <w:rPr>
          <w:rFonts w:ascii="Times New Roman" w:eastAsia="宋体" w:cs="Times New Roman"/>
          <w:color w:val="auto"/>
        </w:rPr>
        <w:t>每年</w:t>
      </w:r>
      <w:r>
        <w:rPr>
          <w:rFonts w:hint="eastAsia" w:ascii="Times New Roman" w:eastAsia="宋体" w:cs="Times New Roman"/>
          <w:color w:val="auto"/>
        </w:rPr>
        <w:t>至少</w:t>
      </w:r>
      <w:r>
        <w:rPr>
          <w:rFonts w:ascii="Times New Roman" w:eastAsia="宋体" w:cs="Times New Roman"/>
          <w:color w:val="auto"/>
        </w:rPr>
        <w:t>进行1次型式检验。</w:t>
      </w:r>
      <w:r>
        <w:rPr>
          <w:rFonts w:hint="eastAsia" w:ascii="Times New Roman" w:eastAsia="宋体" w:cs="Times New Roman"/>
          <w:color w:val="auto"/>
        </w:rPr>
        <w:t>有</w:t>
      </w:r>
      <w:r>
        <w:rPr>
          <w:rFonts w:ascii="Times New Roman" w:eastAsia="宋体" w:cs="Times New Roman"/>
          <w:color w:val="auto"/>
        </w:rPr>
        <w:t>下列情况之一</w:t>
      </w:r>
      <w:r>
        <w:rPr>
          <w:rFonts w:hint="eastAsia" w:ascii="Times New Roman" w:eastAsia="宋体" w:cs="Times New Roman"/>
          <w:color w:val="auto"/>
        </w:rPr>
        <w:t>时</w:t>
      </w:r>
      <w:r>
        <w:rPr>
          <w:rFonts w:ascii="Times New Roman" w:eastAsia="宋体" w:cs="Times New Roman"/>
          <w:color w:val="auto"/>
        </w:rPr>
        <w:t>，也应进行型式检验：</w:t>
      </w:r>
    </w:p>
    <w:p>
      <w:pPr>
        <w:pStyle w:val="50"/>
        <w:keepNext w:val="0"/>
        <w:keepLines w:val="0"/>
        <w:pageBreakBefore w:val="0"/>
        <w:widowControl w:val="0"/>
        <w:numPr>
          <w:ilvl w:val="0"/>
          <w:numId w:val="10"/>
        </w:numPr>
        <w:kinsoku/>
        <w:wordWrap/>
        <w:overflowPunct/>
        <w:topLinePunct w:val="0"/>
        <w:autoSpaceDE/>
        <w:autoSpaceDN/>
        <w:bidi w:val="0"/>
        <w:adjustRightInd w:val="0"/>
        <w:snapToGrid/>
        <w:ind w:left="306" w:firstLine="420" w:firstLineChars="200"/>
        <w:textAlignment w:val="auto"/>
        <w:rPr>
          <w:rFonts w:cs="Times New Roman"/>
          <w:color w:val="auto"/>
        </w:rPr>
      </w:pPr>
      <w:r>
        <w:rPr>
          <w:rFonts w:hint="eastAsia" w:cs="Times New Roman"/>
          <w:color w:val="auto"/>
        </w:rPr>
        <w:t>新产品投产时；</w:t>
      </w:r>
    </w:p>
    <w:p>
      <w:pPr>
        <w:pStyle w:val="50"/>
        <w:keepNext w:val="0"/>
        <w:keepLines w:val="0"/>
        <w:pageBreakBefore w:val="0"/>
        <w:widowControl w:val="0"/>
        <w:numPr>
          <w:ilvl w:val="0"/>
          <w:numId w:val="10"/>
        </w:numPr>
        <w:kinsoku/>
        <w:wordWrap/>
        <w:overflowPunct/>
        <w:topLinePunct w:val="0"/>
        <w:autoSpaceDE/>
        <w:autoSpaceDN/>
        <w:bidi w:val="0"/>
        <w:adjustRightInd w:val="0"/>
        <w:snapToGrid/>
        <w:ind w:left="306" w:firstLine="420" w:firstLineChars="200"/>
        <w:textAlignment w:val="auto"/>
        <w:rPr>
          <w:rFonts w:cs="Times New Roman"/>
          <w:color w:val="auto"/>
        </w:rPr>
      </w:pPr>
      <w:r>
        <w:rPr>
          <w:rFonts w:hint="eastAsia" w:cs="Times New Roman"/>
          <w:color w:val="auto"/>
        </w:rPr>
        <w:t>原料、工艺或主要设备发生较大变化可能影响产品质量时；</w:t>
      </w:r>
    </w:p>
    <w:p>
      <w:pPr>
        <w:pStyle w:val="50"/>
        <w:keepNext w:val="0"/>
        <w:keepLines w:val="0"/>
        <w:pageBreakBefore w:val="0"/>
        <w:widowControl w:val="0"/>
        <w:numPr>
          <w:ilvl w:val="0"/>
          <w:numId w:val="10"/>
        </w:numPr>
        <w:kinsoku/>
        <w:wordWrap/>
        <w:overflowPunct/>
        <w:topLinePunct w:val="0"/>
        <w:autoSpaceDE/>
        <w:autoSpaceDN/>
        <w:bidi w:val="0"/>
        <w:adjustRightInd w:val="0"/>
        <w:snapToGrid/>
        <w:ind w:left="306" w:firstLine="420" w:firstLineChars="200"/>
        <w:textAlignment w:val="auto"/>
        <w:rPr>
          <w:rFonts w:cs="Times New Roman"/>
          <w:color w:val="auto"/>
        </w:rPr>
      </w:pPr>
      <w:r>
        <w:rPr>
          <w:rFonts w:hint="eastAsia" w:cs="Times New Roman"/>
          <w:color w:val="auto"/>
        </w:rPr>
        <w:t>停产半年及以上后重新恢复生产时；</w:t>
      </w:r>
    </w:p>
    <w:p>
      <w:pPr>
        <w:pStyle w:val="50"/>
        <w:keepNext w:val="0"/>
        <w:keepLines w:val="0"/>
        <w:pageBreakBefore w:val="0"/>
        <w:widowControl w:val="0"/>
        <w:numPr>
          <w:ilvl w:val="0"/>
          <w:numId w:val="10"/>
        </w:numPr>
        <w:kinsoku/>
        <w:wordWrap/>
        <w:overflowPunct/>
        <w:topLinePunct w:val="0"/>
        <w:autoSpaceDE/>
        <w:autoSpaceDN/>
        <w:bidi w:val="0"/>
        <w:adjustRightInd w:val="0"/>
        <w:snapToGrid/>
        <w:ind w:left="306" w:firstLine="420" w:firstLineChars="200"/>
        <w:textAlignment w:val="auto"/>
        <w:rPr>
          <w:rFonts w:cs="Times New Roman"/>
          <w:color w:val="auto"/>
        </w:rPr>
      </w:pPr>
      <w:r>
        <w:rPr>
          <w:rFonts w:hint="eastAsia" w:cs="Times New Roman"/>
          <w:color w:val="auto"/>
        </w:rPr>
        <w:t>出厂检验结果与上次型式检验有较大差异时；</w:t>
      </w:r>
    </w:p>
    <w:p>
      <w:pPr>
        <w:pStyle w:val="50"/>
        <w:keepNext w:val="0"/>
        <w:keepLines w:val="0"/>
        <w:pageBreakBefore w:val="0"/>
        <w:widowControl w:val="0"/>
        <w:numPr>
          <w:ilvl w:val="0"/>
          <w:numId w:val="10"/>
        </w:numPr>
        <w:kinsoku/>
        <w:wordWrap/>
        <w:overflowPunct/>
        <w:topLinePunct w:val="0"/>
        <w:autoSpaceDE/>
        <w:autoSpaceDN/>
        <w:bidi w:val="0"/>
        <w:adjustRightInd w:val="0"/>
        <w:snapToGrid/>
        <w:ind w:left="306" w:firstLine="420" w:firstLineChars="200"/>
        <w:textAlignment w:val="auto"/>
        <w:rPr>
          <w:rFonts w:cs="Times New Roman"/>
          <w:color w:val="auto"/>
        </w:rPr>
      </w:pPr>
      <w:r>
        <w:rPr>
          <w:rFonts w:hint="eastAsia" w:cs="Times New Roman"/>
          <w:color w:val="auto"/>
        </w:rPr>
        <w:t>相关部门提出型式检验要求时。</w:t>
      </w:r>
    </w:p>
    <w:p>
      <w:pPr>
        <w:pStyle w:val="62"/>
        <w:rPr>
          <w:color w:val="auto"/>
        </w:rPr>
      </w:pPr>
      <w:bookmarkStart w:id="86" w:name="_Toc20038"/>
      <w:r>
        <w:rPr>
          <w:rFonts w:hint="eastAsia"/>
          <w:color w:val="auto"/>
        </w:rPr>
        <w:t>组批和抽样</w:t>
      </w:r>
      <w:bookmarkEnd w:id="86"/>
    </w:p>
    <w:p>
      <w:pPr>
        <w:pStyle w:val="71"/>
        <w:spacing w:before="156" w:after="156"/>
        <w:rPr>
          <w:rFonts w:hAnsi="黑体"/>
          <w:color w:val="auto"/>
        </w:rPr>
      </w:pPr>
      <w:r>
        <w:rPr>
          <w:rFonts w:hint="eastAsia" w:hAnsi="黑体"/>
          <w:color w:val="auto"/>
        </w:rPr>
        <w:t>组批</w:t>
      </w:r>
    </w:p>
    <w:p>
      <w:pPr>
        <w:pStyle w:val="50"/>
        <w:rPr>
          <w:color w:val="auto"/>
        </w:rPr>
      </w:pPr>
      <w:r>
        <w:rPr>
          <w:rFonts w:hint="eastAsia"/>
          <w:color w:val="auto"/>
        </w:rPr>
        <w:t>同一班次生产的，同一类型的产品为一批。</w:t>
      </w:r>
    </w:p>
    <w:p>
      <w:pPr>
        <w:pStyle w:val="71"/>
        <w:spacing w:before="156" w:after="156"/>
        <w:rPr>
          <w:rFonts w:hAnsi="黑体"/>
          <w:color w:val="auto"/>
        </w:rPr>
      </w:pPr>
      <w:r>
        <w:rPr>
          <w:rFonts w:hint="eastAsia" w:hAnsi="黑体"/>
          <w:color w:val="auto"/>
        </w:rPr>
        <w:t>抽样</w:t>
      </w:r>
    </w:p>
    <w:p>
      <w:pPr>
        <w:pStyle w:val="50"/>
        <w:rPr>
          <w:rFonts w:ascii="宋体" w:hAnsi="宋体" w:cs="宋体"/>
          <w:color w:val="auto"/>
        </w:rPr>
      </w:pPr>
      <w:r>
        <w:rPr>
          <w:rFonts w:hint="eastAsia" w:ascii="宋体" w:hAnsi="宋体" w:cs="宋体"/>
          <w:color w:val="auto"/>
        </w:rPr>
        <w:t>从每批产品中随机抽取不少于3个最小包装单位样品。微生物检验按无菌操作取样。</w:t>
      </w:r>
    </w:p>
    <w:p>
      <w:pPr>
        <w:pStyle w:val="62"/>
        <w:rPr>
          <w:rFonts w:cs="Times New Roman"/>
          <w:color w:val="auto"/>
        </w:rPr>
      </w:pPr>
      <w:bookmarkStart w:id="87" w:name="_Toc8600"/>
      <w:r>
        <w:rPr>
          <w:rFonts w:hint="eastAsia" w:cs="Times New Roman"/>
          <w:color w:val="auto"/>
        </w:rPr>
        <w:t>判定规则</w:t>
      </w:r>
      <w:bookmarkEnd w:id="87"/>
    </w:p>
    <w:p>
      <w:pPr>
        <w:pStyle w:val="71"/>
        <w:spacing w:before="156" w:after="156"/>
        <w:rPr>
          <w:rFonts w:ascii="Times New Roman" w:eastAsia="宋体" w:cs="Times New Roman"/>
          <w:color w:val="auto"/>
        </w:rPr>
      </w:pPr>
      <w:r>
        <w:rPr>
          <w:rFonts w:hint="eastAsia" w:ascii="Times New Roman" w:eastAsia="宋体" w:cs="Times New Roman"/>
          <w:color w:val="auto"/>
        </w:rPr>
        <w:t>检验项目</w:t>
      </w:r>
      <w:r>
        <w:rPr>
          <w:rFonts w:ascii="Times New Roman" w:eastAsia="宋体" w:cs="Times New Roman"/>
          <w:color w:val="auto"/>
        </w:rPr>
        <w:t>全部符合本文件要求，</w:t>
      </w:r>
      <w:r>
        <w:rPr>
          <w:rFonts w:hint="eastAsia" w:ascii="Times New Roman" w:eastAsia="宋体" w:cs="Times New Roman"/>
          <w:color w:val="auto"/>
        </w:rPr>
        <w:t>则</w:t>
      </w:r>
      <w:r>
        <w:rPr>
          <w:rFonts w:ascii="Times New Roman" w:eastAsia="宋体" w:cs="Times New Roman"/>
          <w:color w:val="auto"/>
        </w:rPr>
        <w:t>判</w:t>
      </w:r>
      <w:r>
        <w:rPr>
          <w:rFonts w:hint="eastAsia" w:ascii="Times New Roman" w:eastAsia="宋体" w:cs="Times New Roman"/>
          <w:color w:val="auto"/>
        </w:rPr>
        <w:t>产品</w:t>
      </w:r>
      <w:r>
        <w:rPr>
          <w:rFonts w:ascii="Times New Roman" w:eastAsia="宋体" w:cs="Times New Roman"/>
          <w:color w:val="auto"/>
        </w:rPr>
        <w:t>合格。</w:t>
      </w:r>
    </w:p>
    <w:p>
      <w:pPr>
        <w:pStyle w:val="71"/>
        <w:spacing w:before="156" w:after="156"/>
        <w:rPr>
          <w:color w:val="auto"/>
        </w:rPr>
      </w:pPr>
      <w:r>
        <w:rPr>
          <w:rFonts w:hint="eastAsia" w:ascii="Times New Roman" w:eastAsia="宋体" w:cs="Times New Roman"/>
          <w:color w:val="auto"/>
        </w:rPr>
        <w:t>若微生物有1项及以上不符合本文件要求或发现恶性杂质（如玻璃、金属、昆虫等），即判为产品不合格。除微生物外的其他项目若有1项及以上不合格，应在同批产品中加倍抽样复检，以复检结果为准。复检若仍有1项及以上不合格，则判产品不合格</w:t>
      </w:r>
      <w:r>
        <w:rPr>
          <w:rFonts w:ascii="Times New Roman" w:eastAsia="宋体" w:cs="Times New Roman"/>
          <w:color w:val="auto"/>
        </w:rPr>
        <w:t>。</w:t>
      </w:r>
    </w:p>
    <w:p>
      <w:pPr>
        <w:pStyle w:val="47"/>
        <w:rPr>
          <w:rFonts w:hint="eastAsia"/>
          <w:color w:val="auto"/>
        </w:rPr>
      </w:pPr>
      <w:bookmarkStart w:id="88" w:name="_Toc2805"/>
      <w:r>
        <w:rPr>
          <w:rFonts w:hint="eastAsia"/>
          <w:color w:val="auto"/>
        </w:rPr>
        <w:t>标志、标签、包装、运输和贮存</w:t>
      </w:r>
      <w:bookmarkEnd w:id="88"/>
    </w:p>
    <w:p>
      <w:pPr>
        <w:pStyle w:val="62"/>
        <w:rPr>
          <w:color w:val="auto"/>
        </w:rPr>
      </w:pPr>
      <w:bookmarkStart w:id="89" w:name="_Toc30552"/>
      <w:r>
        <w:rPr>
          <w:rFonts w:hint="eastAsia"/>
          <w:color w:val="auto"/>
        </w:rPr>
        <w:t>标志、 标签</w:t>
      </w:r>
      <w:bookmarkEnd w:id="89"/>
      <w:r>
        <w:rPr>
          <w:rFonts w:hint="eastAsia"/>
          <w:color w:val="auto"/>
        </w:rPr>
        <w:t xml:space="preserve"> </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宋体" w:hAnsi="宋体" w:eastAsia="宋体" w:cs="宋体"/>
          <w:color w:val="auto"/>
        </w:rPr>
      </w:pPr>
      <w:r>
        <w:rPr>
          <w:rFonts w:hint="eastAsia" w:ascii="宋体" w:hAnsi="宋体" w:eastAsia="宋体" w:cs="宋体"/>
          <w:color w:val="auto"/>
        </w:rPr>
        <w:t>产品包装储运图示标志应符合GB/T 191的规定。</w:t>
      </w:r>
    </w:p>
    <w:p>
      <w:pPr>
        <w:pStyle w:val="71"/>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宋体" w:hAnsi="宋体" w:eastAsia="宋体" w:cs="宋体"/>
          <w:color w:val="auto"/>
        </w:rPr>
      </w:pPr>
      <w:r>
        <w:rPr>
          <w:rFonts w:hint="eastAsia" w:ascii="宋体" w:hAnsi="宋体" w:eastAsia="宋体" w:cs="宋体"/>
          <w:color w:val="auto"/>
        </w:rPr>
        <w:t>产品标签应符合GB 7718、GB 28050的规定。</w:t>
      </w:r>
    </w:p>
    <w:p>
      <w:pPr>
        <w:pStyle w:val="62"/>
        <w:rPr>
          <w:color w:val="auto"/>
        </w:rPr>
      </w:pPr>
      <w:bookmarkStart w:id="90" w:name="_Toc367"/>
      <w:r>
        <w:rPr>
          <w:rFonts w:hint="eastAsia"/>
          <w:color w:val="auto"/>
        </w:rPr>
        <w:t>包装</w:t>
      </w:r>
      <w:bookmarkEnd w:id="90"/>
    </w:p>
    <w:p>
      <w:pPr>
        <w:pStyle w:val="50"/>
        <w:rPr>
          <w:color w:val="auto"/>
        </w:rPr>
      </w:pPr>
      <w:r>
        <w:rPr>
          <w:rFonts w:hint="eastAsia"/>
          <w:color w:val="auto"/>
        </w:rPr>
        <w:t>包装应牢固、防潮、整洁、无破碎、无异味。</w:t>
      </w:r>
    </w:p>
    <w:p>
      <w:pPr>
        <w:pStyle w:val="62"/>
        <w:rPr>
          <w:color w:val="auto"/>
        </w:rPr>
      </w:pPr>
      <w:bookmarkStart w:id="91" w:name="_Toc23382"/>
      <w:r>
        <w:rPr>
          <w:rFonts w:hint="eastAsia"/>
          <w:color w:val="auto"/>
        </w:rPr>
        <w:t>运输</w:t>
      </w:r>
      <w:bookmarkEnd w:id="91"/>
    </w:p>
    <w:p>
      <w:pPr>
        <w:pStyle w:val="50"/>
        <w:rPr>
          <w:color w:val="auto"/>
        </w:rPr>
      </w:pPr>
      <w:r>
        <w:rPr>
          <w:rFonts w:hint="eastAsia"/>
          <w:color w:val="auto"/>
        </w:rPr>
        <w:t>产品运输工具应清洁、无污染，运输过程中避免日晒、雨淋、重压。不应与有毒、有害、有异味、易挥发、易腐蚀的物品混装混运。</w:t>
      </w:r>
    </w:p>
    <w:p>
      <w:pPr>
        <w:pStyle w:val="62"/>
        <w:rPr>
          <w:color w:val="auto"/>
        </w:rPr>
      </w:pPr>
      <w:bookmarkStart w:id="92" w:name="_Toc29513"/>
      <w:r>
        <w:rPr>
          <w:rFonts w:hint="eastAsia"/>
          <w:color w:val="auto"/>
        </w:rPr>
        <w:t>贮存</w:t>
      </w:r>
      <w:bookmarkEnd w:id="92"/>
    </w:p>
    <w:p>
      <w:pPr>
        <w:pStyle w:val="50"/>
        <w:rPr>
          <w:color w:val="auto"/>
        </w:rPr>
      </w:pPr>
      <w:r>
        <w:rPr>
          <w:rFonts w:hint="eastAsia"/>
          <w:color w:val="auto"/>
        </w:rPr>
        <w:t>产品应贮存在清洁、避光、干燥、通风、无虫害和鼠害的成品中，离地10 cm以上，离墙20 cm以上。不应与有毒、有害、有异味、易挥发、易腐蚀的物品混存。</w:t>
      </w:r>
    </w:p>
    <w:p>
      <w:pPr>
        <w:pStyle w:val="50"/>
        <w:rPr>
          <w:color w:val="auto"/>
        </w:rPr>
      </w:pPr>
    </w:p>
    <w:p>
      <w:pPr>
        <w:pStyle w:val="50"/>
        <w:rPr>
          <w:color w:val="auto"/>
        </w:rPr>
      </w:pPr>
    </w:p>
    <w:p>
      <w:pPr>
        <w:pStyle w:val="50"/>
        <w:rPr>
          <w:color w:val="auto"/>
        </w:rPr>
      </w:pPr>
    </w:p>
    <w:p>
      <w:pPr>
        <w:pStyle w:val="50"/>
        <w:rPr>
          <w:color w:val="auto"/>
        </w:rPr>
      </w:pPr>
    </w:p>
    <w:p>
      <w:pPr>
        <w:pStyle w:val="50"/>
        <w:rPr>
          <w:color w:val="auto"/>
        </w:rPr>
      </w:pPr>
    </w:p>
    <w:p>
      <w:pPr>
        <w:pStyle w:val="50"/>
        <w:ind w:firstLine="0" w:firstLineChars="0"/>
        <w:jc w:val="center"/>
        <w:rPr>
          <w:rFonts w:ascii="黑体" w:hAnsi="黑体" w:eastAsia="黑体" w:cs="黑体"/>
          <w:color w:val="auto"/>
          <w:kern w:val="0"/>
          <w:lang w:bidi="ar"/>
        </w:rPr>
      </w:pPr>
      <w:r>
        <w:rPr>
          <w:rFonts w:hint="eastAsia" w:ascii="黑体" w:hAnsi="黑体" w:eastAsia="黑体" w:cs="黑体"/>
          <w:color w:val="auto"/>
          <w:kern w:val="0"/>
          <w:lang w:bidi="ar"/>
        </w:rPr>
        <w:t>参 考 文 献</w:t>
      </w:r>
    </w:p>
    <w:p>
      <w:pPr>
        <w:pStyle w:val="50"/>
        <w:rPr>
          <w:rFonts w:ascii="宋体" w:hAnsi="宋体" w:cs="宋体"/>
          <w:color w:val="auto"/>
          <w:kern w:val="0"/>
          <w:lang w:bidi="ar"/>
        </w:rPr>
      </w:pPr>
    </w:p>
    <w:p>
      <w:pPr>
        <w:pStyle w:val="50"/>
        <w:numPr>
          <w:ilvl w:val="0"/>
          <w:numId w:val="11"/>
        </w:numPr>
        <w:rPr>
          <w:rFonts w:hint="eastAsia" w:ascii="宋体" w:hAnsi="宋体" w:eastAsia="宋体" w:cs="宋体"/>
          <w:color w:val="auto"/>
        </w:rPr>
      </w:pPr>
      <w:r>
        <w:rPr>
          <w:rFonts w:hint="eastAsia" w:ascii="宋体" w:hAnsi="宋体" w:eastAsia="宋体" w:cs="宋体"/>
          <w:color w:val="auto"/>
        </w:rPr>
        <w:t>GB 2762-2017  食品安全国家标准 食品中污染物限量</w:t>
      </w:r>
    </w:p>
    <w:p>
      <w:pPr>
        <w:pStyle w:val="50"/>
        <w:numPr>
          <w:ilvl w:val="0"/>
          <w:numId w:val="11"/>
        </w:numPr>
        <w:rPr>
          <w:rFonts w:hint="eastAsia" w:ascii="宋体" w:hAnsi="宋体" w:eastAsia="宋体" w:cs="宋体"/>
          <w:color w:val="auto"/>
        </w:rPr>
      </w:pPr>
      <w:r>
        <w:rPr>
          <w:rFonts w:hint="eastAsia" w:ascii="宋体" w:hAnsi="宋体" w:eastAsia="宋体" w:cs="宋体"/>
          <w:color w:val="auto"/>
        </w:rPr>
        <w:t>GB/T 22729-2008  海洋鱼低聚肽粉</w:t>
      </w:r>
    </w:p>
    <w:p>
      <w:pPr>
        <w:pStyle w:val="50"/>
        <w:numPr>
          <w:ilvl w:val="0"/>
          <w:numId w:val="11"/>
        </w:numPr>
        <w:rPr>
          <w:rFonts w:hint="eastAsia" w:ascii="宋体" w:hAnsi="宋体" w:eastAsia="宋体" w:cs="宋体"/>
          <w:color w:val="auto"/>
        </w:rPr>
      </w:pPr>
      <w:r>
        <w:rPr>
          <w:rFonts w:hint="eastAsia" w:ascii="宋体" w:hAnsi="宋体" w:eastAsia="宋体" w:cs="宋体"/>
          <w:color w:val="auto"/>
        </w:rPr>
        <w:t>GB 31645-2018 食品安全国家标准 胶原蛋白肽</w:t>
      </w:r>
    </w:p>
    <w:p>
      <w:pPr>
        <w:pStyle w:val="50"/>
        <w:numPr>
          <w:ilvl w:val="0"/>
          <w:numId w:val="11"/>
        </w:numPr>
        <w:rPr>
          <w:rFonts w:hint="eastAsia" w:ascii="宋体" w:hAnsi="宋体" w:eastAsia="宋体" w:cs="宋体"/>
          <w:color w:val="auto"/>
        </w:rPr>
      </w:pPr>
      <w:r>
        <w:rPr>
          <w:rFonts w:hint="eastAsia" w:ascii="宋体" w:hAnsi="宋体" w:eastAsia="宋体" w:cs="宋体"/>
          <w:color w:val="auto"/>
        </w:rPr>
        <w:t xml:space="preserve">T/CBFIA </w:t>
      </w:r>
      <w:r>
        <w:rPr>
          <w:rFonts w:hint="eastAsia" w:ascii="宋体" w:hAnsi="宋体" w:eastAsia="宋体" w:cs="宋体"/>
          <w:color w:val="auto"/>
          <w:lang w:val="en-US" w:eastAsia="zh-CN"/>
        </w:rPr>
        <w:t>01</w:t>
      </w:r>
      <w:r>
        <w:rPr>
          <w:rFonts w:hint="eastAsia" w:ascii="宋体" w:hAnsi="宋体" w:eastAsia="宋体" w:cs="宋体"/>
          <w:color w:val="auto"/>
        </w:rPr>
        <w:t>001－2022  牡蛎肽</w:t>
      </w:r>
    </w:p>
    <w:p>
      <w:pPr>
        <w:pStyle w:val="50"/>
        <w:numPr>
          <w:ilvl w:val="0"/>
          <w:numId w:val="11"/>
        </w:numPr>
        <w:rPr>
          <w:rFonts w:hint="eastAsia" w:ascii="宋体" w:hAnsi="宋体" w:eastAsia="宋体" w:cs="宋体"/>
          <w:color w:val="auto"/>
        </w:rPr>
      </w:pPr>
      <w:r>
        <w:rPr>
          <w:rFonts w:hint="eastAsia" w:ascii="宋体" w:hAnsi="宋体" w:eastAsia="宋体" w:cs="宋体"/>
          <w:color w:val="auto"/>
        </w:rPr>
        <w:t>T/QMHIPA 002－2022 功能性蛤蜊肽粉</w:t>
      </w:r>
    </w:p>
    <w:p>
      <w:pPr>
        <w:pStyle w:val="50"/>
        <w:numPr>
          <w:ilvl w:val="0"/>
          <w:numId w:val="11"/>
        </w:numPr>
        <w:rPr>
          <w:rFonts w:hint="eastAsia" w:ascii="宋体" w:hAnsi="宋体" w:eastAsia="宋体" w:cs="宋体"/>
          <w:color w:val="auto"/>
        </w:rPr>
      </w:pPr>
      <w:r>
        <w:rPr>
          <w:rFonts w:hint="eastAsia" w:ascii="宋体" w:hAnsi="宋体" w:eastAsia="宋体" w:cs="宋体"/>
          <w:color w:val="auto"/>
        </w:rPr>
        <w:t>T/QMHIPA 00</w:t>
      </w:r>
      <w:r>
        <w:rPr>
          <w:rFonts w:hint="eastAsia" w:ascii="宋体" w:hAnsi="宋体" w:eastAsia="宋体" w:cs="宋体"/>
          <w:color w:val="auto"/>
          <w:lang w:val="en-US" w:eastAsia="zh-CN"/>
        </w:rPr>
        <w:t>3</w:t>
      </w:r>
      <w:r>
        <w:rPr>
          <w:rFonts w:hint="eastAsia" w:ascii="宋体" w:hAnsi="宋体" w:eastAsia="宋体" w:cs="宋体"/>
          <w:color w:val="auto"/>
        </w:rPr>
        <w:t xml:space="preserve">－2022  功能性海参肽粉 </w:t>
      </w:r>
    </w:p>
    <w:p>
      <w:pPr>
        <w:pStyle w:val="50"/>
        <w:ind w:left="420" w:leftChars="200" w:firstLine="0" w:firstLineChars="0"/>
        <w:rPr>
          <w:color w:val="auto"/>
        </w:rPr>
      </w:pPr>
    </w:p>
    <w:p>
      <w:pPr>
        <w:pStyle w:val="50"/>
        <w:ind w:firstLine="0" w:firstLineChars="0"/>
        <w:jc w:val="center"/>
        <w:rPr>
          <w:color w:val="auto"/>
        </w:rPr>
      </w:pPr>
      <w:r>
        <w:rPr>
          <w:rFonts w:hint="eastAsia"/>
          <w:color w:val="auto"/>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pPr>
        <w:rPr>
          <w:color w:val="auto"/>
        </w:rPr>
      </w:pPr>
    </w:p>
    <w:sectPr>
      <w:headerReference r:id="rId15" w:type="default"/>
      <w:footerReference r:id="rId17" w:type="default"/>
      <w:headerReference r:id="rId16" w:type="even"/>
      <w:footerReference r:id="rId18" w:type="even"/>
      <w:pgSz w:w="11906" w:h="16838"/>
      <w:pgMar w:top="1440" w:right="1800" w:bottom="1440" w:left="11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5B9BD5" w:themeColor="accent1"/>
        <w14:textFill>
          <w14:solidFill>
            <w14:schemeClr w14:val="accent1"/>
          </w14:solidFill>
        </w14:textFill>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IV</w:t>
                    </w:r>
                    <w:r>
                      <w:rPr>
                        <w:rFonts w:ascii="Times New Roman" w:hAnsi="Times New Roman"/>
                        <w:cap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posOffset>28575</wp:posOffset>
              </wp:positionH>
              <wp:positionV relativeFrom="paragraph">
                <wp:posOffset>47625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3.75pt;height:144pt;width:144pt;mso-position-horizontal-relative:margin;mso-wrap-style:none;z-index:251663360;mso-width-relative:page;mso-height-relative:page;" filled="f" stroked="f" coordsize="21600,21600" o:gfxdata="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2vujjTAAAABwEAAA8AAAAAAAAAAQAgAAAAIgAAAGRycy9kb3ducmV2LnhtbFBLAQIUABQAAAAI&#10;AIdO4kAyUnG/KwIAAFcEAAAOAAAAAAAAAAEAIAAAACIBAABkcnMvZTJvRG9jLnhtbFBLBQYAAAAA&#10;BgAGAFkBAAC/BQAAAAA=&#10;">
              <v:fill on="f" focussize="0,0"/>
              <v:stroke on="f" weight="0.5pt"/>
              <v:imagedata o:title=""/>
              <o:lock v:ext="edit" aspectratio="f"/>
              <v:textbox inset="0mm,0mm,0mm,0mm" style="mso-fit-shape-to-text:t;">
                <w:txbxContent>
                  <w:p>
                    <w:pPr>
                      <w:pStyle w:val="14"/>
                      <w:jc w:val="both"/>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3</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3</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4</w:t>
                          </w:r>
                          <w:r>
                            <w:rPr>
                              <w:rFonts w:hint="eastAsia" w:ascii="宋体" w:hAnsi="宋体" w:cs="宋体"/>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4</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righ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jc w:val="left"/>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9DD"/>
    <w:multiLevelType w:val="multilevel"/>
    <w:tmpl w:val="A88A19DD"/>
    <w:lvl w:ilvl="0" w:tentative="0">
      <w:start w:val="1"/>
      <w:numFmt w:val="lowerLetter"/>
      <w:lvlText w:val="%1)"/>
      <w:lvlJc w:val="left"/>
      <w:pPr>
        <w:ind w:left="420" w:hanging="420"/>
      </w:pPr>
      <w:rPr>
        <w:rFonts w:hint="default" w:ascii="宋体" w:hAnsi="宋体" w:eastAsia="宋体" w:cs="宋体"/>
        <w:sz w:val="21"/>
        <w:szCs w:val="21"/>
      </w:rPr>
    </w:lvl>
    <w:lvl w:ilvl="1" w:tentative="0">
      <w:start w:val="1"/>
      <w:numFmt w:val="decimal"/>
      <w:lvlText w:val="%2)"/>
      <w:lvlJc w:val="left"/>
      <w:pPr>
        <w:ind w:left="780" w:hanging="360"/>
      </w:pPr>
      <w:rPr>
        <w:rFonts w:hint="eastAsia"/>
      </w:rPr>
    </w:lvl>
    <w:lvl w:ilvl="2" w:tentative="0">
      <w:start w:val="1"/>
      <w:numFmt w:val="japaneseCounting"/>
      <w:lvlText w:val="（%3）"/>
      <w:lvlJc w:val="left"/>
      <w:pPr>
        <w:ind w:left="1560" w:hanging="720"/>
      </w:pPr>
      <w:rPr>
        <w:rFonts w:hint="eastAsia"/>
      </w:rPr>
    </w:lvl>
    <w:lvl w:ilvl="3" w:tentative="0">
      <w:start w:val="1"/>
      <w:numFmt w:val="japaneseCounting"/>
      <w:lvlText w:val="%4、"/>
      <w:lvlJc w:val="left"/>
      <w:pPr>
        <w:ind w:left="1680" w:hanging="420"/>
      </w:pPr>
      <w:rPr>
        <w:rFonts w:hint="eastAsia"/>
      </w:rPr>
    </w:lvl>
    <w:lvl w:ilvl="4" w:tentative="0">
      <w:start w:val="2"/>
      <w:numFmt w:val="bullet"/>
      <w:lvlText w:val="•"/>
      <w:lvlJc w:val="left"/>
      <w:pPr>
        <w:ind w:left="2040" w:hanging="360"/>
      </w:pPr>
      <w:rPr>
        <w:rFonts w:hint="eastAsia" w:ascii="宋体" w:hAnsi="宋体" w:eastAsia="宋体" w:cs="Times New Roman"/>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130E4EA"/>
    <w:multiLevelType w:val="singleLevel"/>
    <w:tmpl w:val="B130E4EA"/>
    <w:lvl w:ilvl="0" w:tentative="0">
      <w:start w:val="1"/>
      <w:numFmt w:val="decimal"/>
      <w:lvlText w:val="[%1]"/>
      <w:lvlJc w:val="left"/>
      <w:pPr>
        <w:tabs>
          <w:tab w:val="left" w:pos="312"/>
        </w:tabs>
      </w:pPr>
    </w:lvl>
  </w:abstractNum>
  <w:abstractNum w:abstractNumId="2">
    <w:nsid w:val="0AC52E15"/>
    <w:multiLevelType w:val="multilevel"/>
    <w:tmpl w:val="0AC52E15"/>
    <w:lvl w:ilvl="0" w:tentative="0">
      <w:start w:val="1"/>
      <w:numFmt w:val="lowerLetter"/>
      <w:suff w:val="space"/>
      <w:lvlText w:val="%1)"/>
      <w:lvlJc w:val="left"/>
      <w:pPr>
        <w:ind w:left="306" w:hanging="306"/>
      </w:pPr>
      <w:rPr>
        <w:rFonts w:hint="default" w:ascii="黑体" w:hAnsi="黑体" w:eastAsia="黑体" w:cs="等线 Light"/>
        <w:sz w:val="21"/>
        <w:szCs w:val="21"/>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1E3C2409"/>
    <w:multiLevelType w:val="multilevel"/>
    <w:tmpl w:val="1E3C2409"/>
    <w:lvl w:ilvl="0" w:tentative="0">
      <w:start w:val="1"/>
      <w:numFmt w:val="lowerLetter"/>
      <w:pStyle w:val="76"/>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AD9EDCD"/>
    <w:multiLevelType w:val="multilevel"/>
    <w:tmpl w:val="2AD9EDCD"/>
    <w:lvl w:ilvl="0" w:tentative="0">
      <w:start w:val="1"/>
      <w:numFmt w:val="lowerLetter"/>
      <w:lvlText w:val="%1)"/>
      <w:lvlJc w:val="left"/>
      <w:pPr>
        <w:ind w:left="420" w:hanging="420"/>
      </w:pPr>
      <w:rPr>
        <w:rFonts w:hint="default" w:ascii="宋体" w:hAnsi="宋体" w:eastAsia="宋体" w:cs="宋体"/>
        <w:sz w:val="21"/>
        <w:szCs w:val="21"/>
      </w:rPr>
    </w:lvl>
    <w:lvl w:ilvl="1" w:tentative="0">
      <w:start w:val="1"/>
      <w:numFmt w:val="decimal"/>
      <w:lvlText w:val="%2)"/>
      <w:lvlJc w:val="left"/>
      <w:pPr>
        <w:ind w:left="780" w:hanging="360"/>
      </w:pPr>
      <w:rPr>
        <w:rFonts w:hint="eastAsia"/>
      </w:rPr>
    </w:lvl>
    <w:lvl w:ilvl="2" w:tentative="0">
      <w:start w:val="1"/>
      <w:numFmt w:val="japaneseCounting"/>
      <w:lvlText w:val="（%3）"/>
      <w:lvlJc w:val="left"/>
      <w:pPr>
        <w:ind w:left="1560" w:hanging="720"/>
      </w:pPr>
      <w:rPr>
        <w:rFonts w:hint="eastAsia"/>
      </w:rPr>
    </w:lvl>
    <w:lvl w:ilvl="3" w:tentative="0">
      <w:start w:val="1"/>
      <w:numFmt w:val="japaneseCounting"/>
      <w:lvlText w:val="%4、"/>
      <w:lvlJc w:val="left"/>
      <w:pPr>
        <w:ind w:left="1680" w:hanging="420"/>
      </w:pPr>
      <w:rPr>
        <w:rFonts w:hint="eastAsia"/>
      </w:rPr>
    </w:lvl>
    <w:lvl w:ilvl="4" w:tentative="0">
      <w:start w:val="2"/>
      <w:numFmt w:val="bullet"/>
      <w:lvlText w:val="•"/>
      <w:lvlJc w:val="left"/>
      <w:pPr>
        <w:ind w:left="2040" w:hanging="360"/>
      </w:pPr>
      <w:rPr>
        <w:rFonts w:hint="eastAsia" w:ascii="宋体" w:hAnsi="宋体" w:eastAsia="宋体" w:cs="Times New Roman"/>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E32610F"/>
    <w:multiLevelType w:val="multilevel"/>
    <w:tmpl w:val="2E32610F"/>
    <w:lvl w:ilvl="0" w:tentative="0">
      <w:start w:val="1"/>
      <w:numFmt w:val="decimal"/>
      <w:pStyle w:val="75"/>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6">
    <w:nsid w:val="3D1C17D8"/>
    <w:multiLevelType w:val="multilevel"/>
    <w:tmpl w:val="3D1C17D8"/>
    <w:lvl w:ilvl="0" w:tentative="0">
      <w:start w:val="1"/>
      <w:numFmt w:val="decimal"/>
      <w:pStyle w:val="81"/>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7C2AF5"/>
    <w:multiLevelType w:val="multilevel"/>
    <w:tmpl w:val="557C2AF5"/>
    <w:lvl w:ilvl="0" w:tentative="0">
      <w:start w:val="1"/>
      <w:numFmt w:val="decimal"/>
      <w:pStyle w:val="98"/>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8">
    <w:nsid w:val="591079F2"/>
    <w:multiLevelType w:val="multilevel"/>
    <w:tmpl w:val="591079F2"/>
    <w:lvl w:ilvl="0" w:tentative="0">
      <w:start w:val="1"/>
      <w:numFmt w:val="decimal"/>
      <w:pStyle w:val="10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60"/>
      <w:suff w:val="nothing"/>
      <w:lvlText w:val="%1"/>
      <w:lvlJc w:val="left"/>
      <w:rPr>
        <w:rFonts w:hint="default" w:ascii="Times New Roman" w:hAnsi="Times New Roman" w:cs="Times New Roman"/>
        <w:b/>
        <w:bCs/>
        <w:i w:val="0"/>
        <w:iCs w:val="0"/>
        <w:sz w:val="21"/>
        <w:szCs w:val="21"/>
      </w:rPr>
    </w:lvl>
    <w:lvl w:ilvl="1" w:tentative="0">
      <w:start w:val="1"/>
      <w:numFmt w:val="decimal"/>
      <w:pStyle w:val="48"/>
      <w:suff w:val="nothing"/>
      <w:lvlText w:val="%1%2　"/>
      <w:lvlJc w:val="left"/>
      <w:rPr>
        <w:rFonts w:hint="eastAsia" w:ascii="黑体" w:hAnsi="Times New Roman" w:eastAsia="黑体"/>
        <w:b w:val="0"/>
        <w:bCs w:val="0"/>
        <w:i w:val="0"/>
        <w:iCs w:val="0"/>
        <w:sz w:val="21"/>
        <w:szCs w:val="21"/>
      </w:rPr>
    </w:lvl>
    <w:lvl w:ilvl="2" w:tentative="0">
      <w:start w:val="1"/>
      <w:numFmt w:val="decimal"/>
      <w:pStyle w:val="59"/>
      <w:suff w:val="nothing"/>
      <w:lvlText w:val="%1%2.%3　"/>
      <w:lvlJc w:val="left"/>
      <w:rPr>
        <w:rFonts w:hint="eastAsia" w:ascii="黑体" w:hAnsi="Times New Roman" w:eastAsia="黑体"/>
        <w:b w:val="0"/>
        <w:bCs w:val="0"/>
        <w:i w:val="0"/>
        <w:iCs w:val="0"/>
        <w:sz w:val="21"/>
        <w:szCs w:val="21"/>
      </w:rPr>
    </w:lvl>
    <w:lvl w:ilvl="3" w:tentative="0">
      <w:start w:val="1"/>
      <w:numFmt w:val="decimal"/>
      <w:pStyle w:val="55"/>
      <w:suff w:val="nothing"/>
      <w:lvlText w:val="%1%2.%3.%4　"/>
      <w:lvlJc w:val="left"/>
      <w:rPr>
        <w:rFonts w:hint="eastAsia" w:ascii="黑体" w:hAnsi="Times New Roman" w:eastAsia="黑体"/>
        <w:b w:val="0"/>
        <w:bCs w:val="0"/>
        <w:i w:val="0"/>
        <w:iCs w:val="0"/>
        <w:sz w:val="21"/>
        <w:szCs w:val="21"/>
      </w:rPr>
    </w:lvl>
    <w:lvl w:ilvl="4" w:tentative="0">
      <w:start w:val="1"/>
      <w:numFmt w:val="decimal"/>
      <w:pStyle w:val="56"/>
      <w:suff w:val="nothing"/>
      <w:lvlText w:val="%1%2.%3.%4.%5　"/>
      <w:lvlJc w:val="left"/>
      <w:rPr>
        <w:rFonts w:hint="eastAsia" w:ascii="黑体" w:hAnsi="Times New Roman" w:eastAsia="黑体"/>
        <w:b w:val="0"/>
        <w:bCs w:val="0"/>
        <w:i w:val="0"/>
        <w:iCs w:val="0"/>
        <w:sz w:val="21"/>
        <w:szCs w:val="21"/>
      </w:rPr>
    </w:lvl>
    <w:lvl w:ilvl="5" w:tentative="0">
      <w:start w:val="1"/>
      <w:numFmt w:val="decimal"/>
      <w:pStyle w:val="57"/>
      <w:suff w:val="nothing"/>
      <w:lvlText w:val="%1%2.%3.%4.%5.%6　"/>
      <w:lvlJc w:val="left"/>
      <w:rPr>
        <w:rFonts w:hint="eastAsia" w:ascii="黑体" w:hAnsi="Times New Roman" w:eastAsia="黑体"/>
        <w:b w:val="0"/>
        <w:bCs w:val="0"/>
        <w:i w:val="0"/>
        <w:iCs w:val="0"/>
        <w:sz w:val="21"/>
        <w:szCs w:val="21"/>
      </w:rPr>
    </w:lvl>
    <w:lvl w:ilvl="6" w:tentative="0">
      <w:start w:val="1"/>
      <w:numFmt w:val="decimal"/>
      <w:pStyle w:val="58"/>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5"/>
  </w:num>
  <w:num w:numId="3">
    <w:abstractNumId w:val="3"/>
  </w:num>
  <w:num w:numId="4">
    <w:abstractNumId w:val="6"/>
  </w:num>
  <w:num w:numId="5">
    <w:abstractNumId w:val="9"/>
  </w:num>
  <w:num w:numId="6">
    <w:abstractNumId w:val="7"/>
  </w:num>
  <w:num w:numId="7">
    <w:abstractNumId w:val="8"/>
  </w:num>
  <w:num w:numId="8">
    <w:abstractNumId w:val="4"/>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M4NjE4NDQ3MzRkMGIyMWJjYzY1YzA1MzEzOWQifQ=="/>
  </w:docVars>
  <w:rsids>
    <w:rsidRoot w:val="0049106D"/>
    <w:rsid w:val="00036851"/>
    <w:rsid w:val="0008011C"/>
    <w:rsid w:val="000B72F7"/>
    <w:rsid w:val="000C0BDC"/>
    <w:rsid w:val="000F21C4"/>
    <w:rsid w:val="001302D6"/>
    <w:rsid w:val="00160723"/>
    <w:rsid w:val="00173157"/>
    <w:rsid w:val="00197D67"/>
    <w:rsid w:val="00217A44"/>
    <w:rsid w:val="002370E4"/>
    <w:rsid w:val="002D54BF"/>
    <w:rsid w:val="00322B4B"/>
    <w:rsid w:val="00366D91"/>
    <w:rsid w:val="003C26FD"/>
    <w:rsid w:val="0040583C"/>
    <w:rsid w:val="00465A1B"/>
    <w:rsid w:val="00484CAA"/>
    <w:rsid w:val="0049106D"/>
    <w:rsid w:val="004A0C85"/>
    <w:rsid w:val="004C5649"/>
    <w:rsid w:val="004C6BA6"/>
    <w:rsid w:val="005071BD"/>
    <w:rsid w:val="00556FDB"/>
    <w:rsid w:val="005933F2"/>
    <w:rsid w:val="005B66CB"/>
    <w:rsid w:val="006309AC"/>
    <w:rsid w:val="006800B2"/>
    <w:rsid w:val="006846B3"/>
    <w:rsid w:val="006F3FBE"/>
    <w:rsid w:val="007D32E6"/>
    <w:rsid w:val="007E4CAF"/>
    <w:rsid w:val="007F7ACE"/>
    <w:rsid w:val="00841072"/>
    <w:rsid w:val="00866963"/>
    <w:rsid w:val="008837CC"/>
    <w:rsid w:val="008C041F"/>
    <w:rsid w:val="008D3A0A"/>
    <w:rsid w:val="008E2C2B"/>
    <w:rsid w:val="00967EE4"/>
    <w:rsid w:val="009C548A"/>
    <w:rsid w:val="00A45CE4"/>
    <w:rsid w:val="00AB02B0"/>
    <w:rsid w:val="00AF504D"/>
    <w:rsid w:val="00AF5975"/>
    <w:rsid w:val="00B25DC2"/>
    <w:rsid w:val="00BB09B0"/>
    <w:rsid w:val="00BC28D9"/>
    <w:rsid w:val="00BD3AE3"/>
    <w:rsid w:val="00C800A6"/>
    <w:rsid w:val="00C902B2"/>
    <w:rsid w:val="00C91BEC"/>
    <w:rsid w:val="00CA36B8"/>
    <w:rsid w:val="00CB682A"/>
    <w:rsid w:val="00D12FF3"/>
    <w:rsid w:val="00DC26AA"/>
    <w:rsid w:val="00E34886"/>
    <w:rsid w:val="00E475A9"/>
    <w:rsid w:val="00E525A1"/>
    <w:rsid w:val="00E775F4"/>
    <w:rsid w:val="00ED38E8"/>
    <w:rsid w:val="00F02D88"/>
    <w:rsid w:val="00FA13F2"/>
    <w:rsid w:val="00FE4F04"/>
    <w:rsid w:val="00FF32B2"/>
    <w:rsid w:val="012B603A"/>
    <w:rsid w:val="032F52F5"/>
    <w:rsid w:val="046A7BB6"/>
    <w:rsid w:val="049E65AB"/>
    <w:rsid w:val="04D550AF"/>
    <w:rsid w:val="0526017A"/>
    <w:rsid w:val="05A827C4"/>
    <w:rsid w:val="05EA2E1F"/>
    <w:rsid w:val="0628663D"/>
    <w:rsid w:val="06BD2BAD"/>
    <w:rsid w:val="07216AA4"/>
    <w:rsid w:val="07F97556"/>
    <w:rsid w:val="08B76BC8"/>
    <w:rsid w:val="094434AF"/>
    <w:rsid w:val="09CB4290"/>
    <w:rsid w:val="0A6B68D4"/>
    <w:rsid w:val="0B762820"/>
    <w:rsid w:val="0C342E56"/>
    <w:rsid w:val="0C3F054D"/>
    <w:rsid w:val="0D077365"/>
    <w:rsid w:val="0EC06A97"/>
    <w:rsid w:val="10696D40"/>
    <w:rsid w:val="10F50655"/>
    <w:rsid w:val="116C539B"/>
    <w:rsid w:val="126C74FA"/>
    <w:rsid w:val="12B75CC4"/>
    <w:rsid w:val="132A5F74"/>
    <w:rsid w:val="14793F8E"/>
    <w:rsid w:val="152C40C2"/>
    <w:rsid w:val="174E33E4"/>
    <w:rsid w:val="180D4CB2"/>
    <w:rsid w:val="1978618A"/>
    <w:rsid w:val="1A2C3317"/>
    <w:rsid w:val="1B501597"/>
    <w:rsid w:val="1BED0A42"/>
    <w:rsid w:val="1CA32B8F"/>
    <w:rsid w:val="1CD81789"/>
    <w:rsid w:val="1D001EE1"/>
    <w:rsid w:val="1E2065F9"/>
    <w:rsid w:val="1E4F3E59"/>
    <w:rsid w:val="1EE61BA2"/>
    <w:rsid w:val="1F835469"/>
    <w:rsid w:val="201E2467"/>
    <w:rsid w:val="204C7233"/>
    <w:rsid w:val="21EC5E47"/>
    <w:rsid w:val="2364649A"/>
    <w:rsid w:val="23BF2E88"/>
    <w:rsid w:val="23F44427"/>
    <w:rsid w:val="2444452A"/>
    <w:rsid w:val="245A5475"/>
    <w:rsid w:val="2465450F"/>
    <w:rsid w:val="25864B61"/>
    <w:rsid w:val="260B43E4"/>
    <w:rsid w:val="263A0981"/>
    <w:rsid w:val="26FD5492"/>
    <w:rsid w:val="271F6B87"/>
    <w:rsid w:val="28C826B1"/>
    <w:rsid w:val="29251585"/>
    <w:rsid w:val="294A4A03"/>
    <w:rsid w:val="29DD0BA6"/>
    <w:rsid w:val="2A8B7EBC"/>
    <w:rsid w:val="2B602149"/>
    <w:rsid w:val="2B916C1C"/>
    <w:rsid w:val="2C1E481F"/>
    <w:rsid w:val="2E293BF2"/>
    <w:rsid w:val="2E5B46EF"/>
    <w:rsid w:val="2F002774"/>
    <w:rsid w:val="2F4B788D"/>
    <w:rsid w:val="30056C4A"/>
    <w:rsid w:val="30105081"/>
    <w:rsid w:val="308E447E"/>
    <w:rsid w:val="315864E3"/>
    <w:rsid w:val="32D57653"/>
    <w:rsid w:val="331443BA"/>
    <w:rsid w:val="33CB4330"/>
    <w:rsid w:val="34650630"/>
    <w:rsid w:val="34C32900"/>
    <w:rsid w:val="358C2998"/>
    <w:rsid w:val="35C60166"/>
    <w:rsid w:val="377A161A"/>
    <w:rsid w:val="38A87DC2"/>
    <w:rsid w:val="38B91F21"/>
    <w:rsid w:val="3AE748FA"/>
    <w:rsid w:val="3B1E0E87"/>
    <w:rsid w:val="3BB6261C"/>
    <w:rsid w:val="3DA37AB1"/>
    <w:rsid w:val="3DC31DD4"/>
    <w:rsid w:val="3E1D2764"/>
    <w:rsid w:val="3E6F09C1"/>
    <w:rsid w:val="3FFB0652"/>
    <w:rsid w:val="40717ADB"/>
    <w:rsid w:val="41520337"/>
    <w:rsid w:val="41AA66E7"/>
    <w:rsid w:val="41EC314C"/>
    <w:rsid w:val="449C5AC5"/>
    <w:rsid w:val="47145757"/>
    <w:rsid w:val="47937B10"/>
    <w:rsid w:val="47987C0C"/>
    <w:rsid w:val="484D5280"/>
    <w:rsid w:val="48E82A5E"/>
    <w:rsid w:val="494B2814"/>
    <w:rsid w:val="4A356201"/>
    <w:rsid w:val="4B5071A1"/>
    <w:rsid w:val="4B830ABD"/>
    <w:rsid w:val="4BBC7944"/>
    <w:rsid w:val="4C2F2B72"/>
    <w:rsid w:val="4C34645C"/>
    <w:rsid w:val="513C15A9"/>
    <w:rsid w:val="51675575"/>
    <w:rsid w:val="51C43597"/>
    <w:rsid w:val="52707890"/>
    <w:rsid w:val="53023D9E"/>
    <w:rsid w:val="549C4D62"/>
    <w:rsid w:val="54B14AD1"/>
    <w:rsid w:val="54DD2ED6"/>
    <w:rsid w:val="554D1A31"/>
    <w:rsid w:val="55B91F58"/>
    <w:rsid w:val="55F43E2E"/>
    <w:rsid w:val="56BF77C9"/>
    <w:rsid w:val="571557C5"/>
    <w:rsid w:val="572C0A74"/>
    <w:rsid w:val="575D03E5"/>
    <w:rsid w:val="57F77932"/>
    <w:rsid w:val="584A1360"/>
    <w:rsid w:val="5879476E"/>
    <w:rsid w:val="58AB36D6"/>
    <w:rsid w:val="59E61E43"/>
    <w:rsid w:val="5A54427B"/>
    <w:rsid w:val="5B113A54"/>
    <w:rsid w:val="5B811D24"/>
    <w:rsid w:val="5B9D1EFC"/>
    <w:rsid w:val="5C664CE6"/>
    <w:rsid w:val="5CC97038"/>
    <w:rsid w:val="5D0C212A"/>
    <w:rsid w:val="5D752650"/>
    <w:rsid w:val="5E921E9D"/>
    <w:rsid w:val="611A4379"/>
    <w:rsid w:val="64252FC4"/>
    <w:rsid w:val="64704655"/>
    <w:rsid w:val="64A958F1"/>
    <w:rsid w:val="67A708E0"/>
    <w:rsid w:val="684C26BE"/>
    <w:rsid w:val="68B666B1"/>
    <w:rsid w:val="6A043698"/>
    <w:rsid w:val="6A294BD8"/>
    <w:rsid w:val="6A5F0222"/>
    <w:rsid w:val="6B250ECD"/>
    <w:rsid w:val="6BBF35DB"/>
    <w:rsid w:val="6CE02BAF"/>
    <w:rsid w:val="6D276CF3"/>
    <w:rsid w:val="6DA52E1E"/>
    <w:rsid w:val="6EAA2E9A"/>
    <w:rsid w:val="6EB91462"/>
    <w:rsid w:val="6EF5518B"/>
    <w:rsid w:val="70366EC6"/>
    <w:rsid w:val="7146447A"/>
    <w:rsid w:val="71787DA6"/>
    <w:rsid w:val="721E1189"/>
    <w:rsid w:val="724B3307"/>
    <w:rsid w:val="729B324A"/>
    <w:rsid w:val="73F10A07"/>
    <w:rsid w:val="752645B4"/>
    <w:rsid w:val="75C4317D"/>
    <w:rsid w:val="77F71EF2"/>
    <w:rsid w:val="780000D0"/>
    <w:rsid w:val="796C6CEE"/>
    <w:rsid w:val="7A190BF8"/>
    <w:rsid w:val="7ACB28B6"/>
    <w:rsid w:val="7B396F59"/>
    <w:rsid w:val="7B524C64"/>
    <w:rsid w:val="7BE73DAC"/>
    <w:rsid w:val="7C611B85"/>
    <w:rsid w:val="7CDD764F"/>
    <w:rsid w:val="7DAC1569"/>
    <w:rsid w:val="7E62115C"/>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4">
    <w:name w:val="heading 2"/>
    <w:basedOn w:val="1"/>
    <w:next w:val="1"/>
    <w:link w:val="3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6">
    <w:name w:val="heading 4"/>
    <w:basedOn w:val="1"/>
    <w:next w:val="1"/>
    <w:link w:val="34"/>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35"/>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8">
    <w:name w:val="heading 6"/>
    <w:basedOn w:val="1"/>
    <w:next w:val="1"/>
    <w:link w:val="36"/>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37"/>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10">
    <w:name w:val="heading 8"/>
    <w:basedOn w:val="1"/>
    <w:next w:val="1"/>
    <w:link w:val="38"/>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39"/>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cs="宋体"/>
      <w:lang w:val="zh-CN" w:bidi="zh-CN"/>
    </w:rPr>
  </w:style>
  <w:style w:type="paragraph" w:styleId="12">
    <w:name w:val="annotation text"/>
    <w:basedOn w:val="1"/>
    <w:link w:val="92"/>
    <w:unhideWhenUsed/>
    <w:qFormat/>
    <w:uiPriority w:val="0"/>
    <w:pPr>
      <w:jc w:val="left"/>
    </w:pPr>
    <w:rPr>
      <w:szCs w:val="24"/>
    </w:rPr>
  </w:style>
  <w:style w:type="paragraph" w:styleId="13">
    <w:name w:val="Balloon Text"/>
    <w:basedOn w:val="1"/>
    <w:link w:val="41"/>
    <w:semiHidden/>
    <w:unhideWhenUsed/>
    <w:qFormat/>
    <w:uiPriority w:val="99"/>
    <w:pPr>
      <w:adjustRightInd w:val="0"/>
    </w:pPr>
    <w:rPr>
      <w:rFonts w:ascii="Calibri" w:hAnsi="Calibri" w:eastAsia="宋体" w:cs="Calibri"/>
      <w:sz w:val="18"/>
      <w:szCs w:val="18"/>
    </w:rPr>
  </w:style>
  <w:style w:type="paragraph" w:styleId="14">
    <w:name w:val="footer"/>
    <w:basedOn w:val="1"/>
    <w:link w:val="42"/>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16">
    <w:name w:val="toc 1"/>
    <w:basedOn w:val="1"/>
    <w:next w:val="1"/>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17">
    <w:name w:val="Subtitle"/>
    <w:basedOn w:val="1"/>
    <w:next w:val="1"/>
    <w:link w:val="44"/>
    <w:qFormat/>
    <w:uiPriority w:val="11"/>
    <w:pPr>
      <w:adjustRightInd w:val="0"/>
      <w:spacing w:before="240" w:after="60" w:line="312" w:lineRule="atLeast"/>
      <w:jc w:val="center"/>
      <w:outlineLvl w:val="1"/>
    </w:pPr>
    <w:rPr>
      <w:b/>
      <w:bCs/>
      <w:kern w:val="28"/>
      <w:sz w:val="32"/>
      <w:szCs w:val="32"/>
    </w:rPr>
  </w:style>
  <w:style w:type="paragraph" w:styleId="18">
    <w:name w:val="footnote text"/>
    <w:basedOn w:val="1"/>
    <w:semiHidden/>
    <w:unhideWhenUsed/>
    <w:qFormat/>
    <w:uiPriority w:val="99"/>
    <w:pPr>
      <w:snapToGrid w:val="0"/>
      <w:jc w:val="left"/>
    </w:pPr>
    <w:rPr>
      <w:sz w:val="18"/>
    </w:rPr>
  </w:style>
  <w:style w:type="paragraph" w:styleId="19">
    <w:name w:val="table of figures"/>
    <w:basedOn w:val="1"/>
    <w:next w:val="1"/>
    <w:link w:val="77"/>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0">
    <w:name w:val="toc 2"/>
    <w:basedOn w:val="1"/>
    <w:next w:val="1"/>
    <w:unhideWhenUsed/>
    <w:qFormat/>
    <w:uiPriority w:val="39"/>
    <w:pPr>
      <w:adjustRightInd w:val="0"/>
      <w:spacing w:line="400" w:lineRule="exact"/>
      <w:ind w:left="420" w:leftChars="200"/>
    </w:pPr>
    <w:rPr>
      <w:rFonts w:ascii="Calibri" w:hAnsi="Calibri" w:eastAsia="宋体" w:cs="Calibri"/>
      <w:szCs w:val="21"/>
    </w:rPr>
  </w:style>
  <w:style w:type="paragraph" w:styleId="21">
    <w:name w:val="Title"/>
    <w:basedOn w:val="1"/>
    <w:next w:val="1"/>
    <w:link w:val="45"/>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22">
    <w:name w:val="annotation subject"/>
    <w:basedOn w:val="12"/>
    <w:next w:val="12"/>
    <w:link w:val="46"/>
    <w:semiHidden/>
    <w:unhideWhenUsed/>
    <w:qFormat/>
    <w:uiPriority w:val="99"/>
    <w:pPr>
      <w:adjustRightInd w:val="0"/>
      <w:spacing w:line="400" w:lineRule="exact"/>
    </w:pPr>
    <w:rPr>
      <w:rFonts w:ascii="Calibri" w:hAnsi="Calibri" w:eastAsia="宋体" w:cs="Calibri"/>
      <w:b/>
      <w:bCs/>
      <w:szCs w:val="21"/>
    </w:rPr>
  </w:style>
  <w:style w:type="table" w:styleId="24">
    <w:name w:val="Table Grid"/>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rPr>
      <w:rFonts w:ascii="宋体" w:hAnsi="Times New Roman" w:eastAsia="宋体" w:cs="宋体"/>
      <w:sz w:val="18"/>
      <w:szCs w:val="18"/>
    </w:rPr>
  </w:style>
  <w:style w:type="character" w:styleId="27">
    <w:name w:val="Emphasis"/>
    <w:basedOn w:val="25"/>
    <w:qFormat/>
    <w:uiPriority w:val="20"/>
    <w:rPr>
      <w:i/>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unhideWhenUsed/>
    <w:qFormat/>
    <w:uiPriority w:val="0"/>
    <w:rPr>
      <w:sz w:val="21"/>
      <w:szCs w:val="21"/>
    </w:rPr>
  </w:style>
  <w:style w:type="character" w:styleId="30">
    <w:name w:val="footnote reference"/>
    <w:basedOn w:val="25"/>
    <w:semiHidden/>
    <w:unhideWhenUsed/>
    <w:qFormat/>
    <w:uiPriority w:val="99"/>
    <w:rPr>
      <w:vertAlign w:val="superscript"/>
    </w:rPr>
  </w:style>
  <w:style w:type="character" w:customStyle="1" w:styleId="31">
    <w:name w:val="标题 1 Char"/>
    <w:basedOn w:val="25"/>
    <w:link w:val="3"/>
    <w:qFormat/>
    <w:uiPriority w:val="9"/>
    <w:rPr>
      <w:rFonts w:ascii="Calibri" w:hAnsi="Calibri" w:eastAsia="宋体" w:cs="Calibri"/>
      <w:b/>
      <w:bCs/>
      <w:kern w:val="44"/>
      <w:sz w:val="44"/>
      <w:szCs w:val="44"/>
    </w:rPr>
  </w:style>
  <w:style w:type="character" w:customStyle="1" w:styleId="32">
    <w:name w:val="标题 2 Char"/>
    <w:basedOn w:val="25"/>
    <w:link w:val="4"/>
    <w:qFormat/>
    <w:uiPriority w:val="9"/>
    <w:rPr>
      <w:rFonts w:asciiTheme="majorHAnsi" w:hAnsiTheme="majorHAnsi" w:eastAsiaTheme="majorEastAsia" w:cstheme="majorBidi"/>
      <w:b/>
      <w:bCs/>
      <w:sz w:val="32"/>
      <w:szCs w:val="32"/>
    </w:rPr>
  </w:style>
  <w:style w:type="character" w:customStyle="1" w:styleId="33">
    <w:name w:val="标题 3 Char"/>
    <w:basedOn w:val="25"/>
    <w:link w:val="5"/>
    <w:qFormat/>
    <w:uiPriority w:val="9"/>
    <w:rPr>
      <w:rFonts w:ascii="Calibri" w:hAnsi="Calibri" w:eastAsia="宋体" w:cs="Calibri"/>
      <w:b/>
      <w:bCs/>
      <w:sz w:val="32"/>
      <w:szCs w:val="32"/>
    </w:rPr>
  </w:style>
  <w:style w:type="character" w:customStyle="1" w:styleId="34">
    <w:name w:val="标题 4 Char"/>
    <w:basedOn w:val="25"/>
    <w:link w:val="6"/>
    <w:qFormat/>
    <w:uiPriority w:val="9"/>
    <w:rPr>
      <w:rFonts w:asciiTheme="majorHAnsi" w:hAnsiTheme="majorHAnsi" w:eastAsiaTheme="majorEastAsia" w:cstheme="majorBidi"/>
      <w:b/>
      <w:bCs/>
      <w:sz w:val="28"/>
      <w:szCs w:val="28"/>
    </w:rPr>
  </w:style>
  <w:style w:type="character" w:customStyle="1" w:styleId="35">
    <w:name w:val="标题 5 Char"/>
    <w:basedOn w:val="25"/>
    <w:link w:val="7"/>
    <w:qFormat/>
    <w:uiPriority w:val="9"/>
    <w:rPr>
      <w:rFonts w:ascii="Calibri" w:hAnsi="Calibri" w:eastAsia="宋体" w:cs="Calibri"/>
      <w:b/>
      <w:bCs/>
      <w:sz w:val="28"/>
      <w:szCs w:val="28"/>
    </w:rPr>
  </w:style>
  <w:style w:type="character" w:customStyle="1" w:styleId="36">
    <w:name w:val="标题 6 Char"/>
    <w:basedOn w:val="25"/>
    <w:link w:val="8"/>
    <w:qFormat/>
    <w:uiPriority w:val="9"/>
    <w:rPr>
      <w:rFonts w:asciiTheme="majorHAnsi" w:hAnsiTheme="majorHAnsi" w:eastAsiaTheme="majorEastAsia" w:cstheme="majorBidi"/>
      <w:b/>
      <w:bCs/>
      <w:sz w:val="24"/>
      <w:szCs w:val="24"/>
    </w:rPr>
  </w:style>
  <w:style w:type="character" w:customStyle="1" w:styleId="37">
    <w:name w:val="标题 7 Char"/>
    <w:basedOn w:val="25"/>
    <w:link w:val="9"/>
    <w:qFormat/>
    <w:uiPriority w:val="9"/>
    <w:rPr>
      <w:rFonts w:ascii="Calibri" w:hAnsi="Calibri" w:eastAsia="宋体" w:cs="Calibri"/>
      <w:b/>
      <w:bCs/>
      <w:sz w:val="24"/>
      <w:szCs w:val="24"/>
    </w:rPr>
  </w:style>
  <w:style w:type="character" w:customStyle="1" w:styleId="38">
    <w:name w:val="标题 8 Char"/>
    <w:basedOn w:val="25"/>
    <w:link w:val="10"/>
    <w:qFormat/>
    <w:uiPriority w:val="9"/>
    <w:rPr>
      <w:rFonts w:asciiTheme="majorHAnsi" w:hAnsiTheme="majorHAnsi" w:eastAsiaTheme="majorEastAsia" w:cstheme="majorBidi"/>
      <w:sz w:val="24"/>
      <w:szCs w:val="24"/>
    </w:rPr>
  </w:style>
  <w:style w:type="character" w:customStyle="1" w:styleId="39">
    <w:name w:val="标题 9 Char"/>
    <w:basedOn w:val="25"/>
    <w:link w:val="11"/>
    <w:qFormat/>
    <w:uiPriority w:val="9"/>
    <w:rPr>
      <w:rFonts w:asciiTheme="majorHAnsi" w:hAnsiTheme="majorHAnsi" w:eastAsiaTheme="majorEastAsia" w:cstheme="majorBidi"/>
      <w:szCs w:val="21"/>
    </w:rPr>
  </w:style>
  <w:style w:type="character" w:customStyle="1" w:styleId="40">
    <w:name w:val="批注文字 字符"/>
    <w:basedOn w:val="25"/>
    <w:semiHidden/>
    <w:qFormat/>
    <w:uiPriority w:val="99"/>
  </w:style>
  <w:style w:type="character" w:customStyle="1" w:styleId="41">
    <w:name w:val="批注框文本 Char"/>
    <w:basedOn w:val="25"/>
    <w:link w:val="13"/>
    <w:semiHidden/>
    <w:qFormat/>
    <w:uiPriority w:val="99"/>
    <w:rPr>
      <w:rFonts w:ascii="Calibri" w:hAnsi="Calibri" w:eastAsia="宋体" w:cs="Calibri"/>
      <w:sz w:val="18"/>
      <w:szCs w:val="18"/>
    </w:rPr>
  </w:style>
  <w:style w:type="character" w:customStyle="1" w:styleId="42">
    <w:name w:val="页脚 Char"/>
    <w:basedOn w:val="25"/>
    <w:link w:val="14"/>
    <w:qFormat/>
    <w:uiPriority w:val="99"/>
    <w:rPr>
      <w:rFonts w:ascii="Calibri" w:hAnsi="Calibri" w:eastAsia="宋体" w:cs="Calibri"/>
      <w:sz w:val="18"/>
      <w:szCs w:val="18"/>
    </w:rPr>
  </w:style>
  <w:style w:type="character" w:customStyle="1" w:styleId="43">
    <w:name w:val="页眉 Char"/>
    <w:basedOn w:val="25"/>
    <w:link w:val="15"/>
    <w:qFormat/>
    <w:uiPriority w:val="99"/>
    <w:rPr>
      <w:rFonts w:ascii="Calibri" w:hAnsi="Calibri" w:eastAsia="宋体" w:cs="Calibri"/>
      <w:sz w:val="18"/>
      <w:szCs w:val="18"/>
    </w:rPr>
  </w:style>
  <w:style w:type="character" w:customStyle="1" w:styleId="44">
    <w:name w:val="副标题 Char"/>
    <w:basedOn w:val="25"/>
    <w:link w:val="17"/>
    <w:qFormat/>
    <w:uiPriority w:val="11"/>
    <w:rPr>
      <w:b/>
      <w:bCs/>
      <w:kern w:val="28"/>
      <w:sz w:val="32"/>
      <w:szCs w:val="32"/>
    </w:rPr>
  </w:style>
  <w:style w:type="character" w:customStyle="1" w:styleId="45">
    <w:name w:val="标题 Char"/>
    <w:basedOn w:val="25"/>
    <w:link w:val="21"/>
    <w:qFormat/>
    <w:uiPriority w:val="10"/>
    <w:rPr>
      <w:rFonts w:asciiTheme="majorHAnsi" w:hAnsiTheme="majorHAnsi" w:eastAsiaTheme="majorEastAsia" w:cstheme="majorBidi"/>
      <w:b/>
      <w:bCs/>
      <w:sz w:val="32"/>
      <w:szCs w:val="32"/>
    </w:rPr>
  </w:style>
  <w:style w:type="character" w:customStyle="1" w:styleId="46">
    <w:name w:val="批注主题 Char"/>
    <w:basedOn w:val="40"/>
    <w:link w:val="22"/>
    <w:semiHidden/>
    <w:qFormat/>
    <w:uiPriority w:val="99"/>
    <w:rPr>
      <w:rFonts w:ascii="Calibri" w:hAnsi="Calibri" w:eastAsia="宋体" w:cs="Calibri"/>
      <w:b/>
      <w:bCs/>
      <w:szCs w:val="21"/>
    </w:rPr>
  </w:style>
  <w:style w:type="paragraph" w:customStyle="1" w:styleId="47">
    <w:name w:val="章标题"/>
    <w:basedOn w:val="48"/>
    <w:next w:val="50"/>
    <w:link w:val="64"/>
    <w:qFormat/>
    <w:uiPriority w:val="0"/>
    <w:pPr>
      <w:spacing w:before="312" w:beforeLines="100" w:after="312" w:afterLines="100"/>
    </w:pPr>
  </w:style>
  <w:style w:type="paragraph" w:customStyle="1" w:styleId="48">
    <w:name w:val="1章标题"/>
    <w:next w:val="49"/>
    <w:link w:val="63"/>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9">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50">
    <w:name w:val="段"/>
    <w:basedOn w:val="1"/>
    <w:link w:val="54"/>
    <w:qFormat/>
    <w:uiPriority w:val="0"/>
    <w:pPr>
      <w:adjustRightInd w:val="0"/>
      <w:ind w:firstLine="420" w:firstLineChars="200"/>
    </w:pPr>
    <w:rPr>
      <w:rFonts w:ascii="Times New Roman" w:hAnsi="Times New Roman" w:eastAsia="宋体" w:cs="Calibri"/>
      <w:szCs w:val="21"/>
    </w:rPr>
  </w:style>
  <w:style w:type="character" w:customStyle="1" w:styleId="51">
    <w:name w:val="不明显强调1"/>
    <w:basedOn w:val="25"/>
    <w:qFormat/>
    <w:uiPriority w:val="19"/>
    <w:rPr>
      <w:i/>
      <w:iCs/>
      <w:color w:val="404040" w:themeColor="text1" w:themeTint="BF"/>
      <w14:textFill>
        <w14:solidFill>
          <w14:schemeClr w14:val="tx1">
            <w14:lumMod w14:val="75000"/>
            <w14:lumOff w14:val="25000"/>
          </w14:schemeClr>
        </w14:solidFill>
      </w14:textFill>
    </w:rPr>
  </w:style>
  <w:style w:type="paragraph" w:customStyle="1" w:styleId="52">
    <w:name w:val="目次、前言、引言"/>
    <w:basedOn w:val="21"/>
    <w:next w:val="50"/>
    <w:link w:val="53"/>
    <w:qFormat/>
    <w:uiPriority w:val="0"/>
    <w:pPr>
      <w:spacing w:before="851" w:after="680" w:line="240" w:lineRule="auto"/>
    </w:pPr>
    <w:rPr>
      <w:rFonts w:eastAsia="黑体"/>
      <w:b w:val="0"/>
    </w:rPr>
  </w:style>
  <w:style w:type="character" w:customStyle="1" w:styleId="53">
    <w:name w:val="目次、前言、引言 字符"/>
    <w:basedOn w:val="45"/>
    <w:link w:val="52"/>
    <w:qFormat/>
    <w:uiPriority w:val="0"/>
    <w:rPr>
      <w:rFonts w:eastAsia="黑体" w:asciiTheme="majorHAnsi" w:hAnsiTheme="majorHAnsi" w:cstheme="majorBidi"/>
      <w:b w:val="0"/>
      <w:sz w:val="32"/>
      <w:szCs w:val="32"/>
    </w:rPr>
  </w:style>
  <w:style w:type="character" w:customStyle="1" w:styleId="54">
    <w:name w:val="段 字符"/>
    <w:basedOn w:val="25"/>
    <w:link w:val="50"/>
    <w:qFormat/>
    <w:uiPriority w:val="0"/>
    <w:rPr>
      <w:rFonts w:ascii="Times New Roman" w:hAnsi="Times New Roman" w:eastAsia="宋体" w:cs="Calibri"/>
      <w:szCs w:val="21"/>
    </w:rPr>
  </w:style>
  <w:style w:type="paragraph" w:customStyle="1" w:styleId="55">
    <w:name w:val="标准文件_二级条标题"/>
    <w:next w:val="49"/>
    <w:link w:val="73"/>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6">
    <w:name w:val="标准文件_三级条标题"/>
    <w:basedOn w:val="55"/>
    <w:next w:val="49"/>
    <w:link w:val="85"/>
    <w:qFormat/>
    <w:uiPriority w:val="99"/>
    <w:pPr>
      <w:widowControl/>
      <w:numPr>
        <w:ilvl w:val="4"/>
      </w:numPr>
      <w:outlineLvl w:val="3"/>
    </w:pPr>
  </w:style>
  <w:style w:type="paragraph" w:customStyle="1" w:styleId="57">
    <w:name w:val="标准文件_四级条标题"/>
    <w:next w:val="49"/>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8">
    <w:name w:val="标准文件_五级条标题"/>
    <w:next w:val="49"/>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9">
    <w:name w:val="标准文件_一级条标题"/>
    <w:basedOn w:val="48"/>
    <w:next w:val="49"/>
    <w:link w:val="65"/>
    <w:qFormat/>
    <w:uiPriority w:val="99"/>
    <w:pPr>
      <w:numPr>
        <w:ilvl w:val="2"/>
      </w:numPr>
      <w:spacing w:beforeLines="0" w:afterLines="0"/>
      <w:outlineLvl w:val="1"/>
    </w:pPr>
  </w:style>
  <w:style w:type="paragraph" w:customStyle="1" w:styleId="60">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61">
    <w:name w:val="List Paragraph"/>
    <w:basedOn w:val="1"/>
    <w:link w:val="79"/>
    <w:qFormat/>
    <w:uiPriority w:val="99"/>
    <w:pPr>
      <w:ind w:firstLine="420" w:firstLineChars="200"/>
    </w:pPr>
    <w:rPr>
      <w:rFonts w:ascii="Calibri" w:hAnsi="Calibri" w:eastAsia="宋体" w:cs="Calibri"/>
      <w:szCs w:val="21"/>
    </w:rPr>
  </w:style>
  <w:style w:type="paragraph" w:customStyle="1" w:styleId="62">
    <w:name w:val="一级条标题"/>
    <w:basedOn w:val="59"/>
    <w:next w:val="50"/>
    <w:link w:val="66"/>
    <w:qFormat/>
    <w:uiPriority w:val="0"/>
    <w:pPr>
      <w:spacing w:before="156" w:beforeLines="50" w:after="156" w:afterLines="50"/>
    </w:pPr>
  </w:style>
  <w:style w:type="character" w:customStyle="1" w:styleId="63">
    <w:name w:val="1章标题 字符"/>
    <w:basedOn w:val="25"/>
    <w:link w:val="48"/>
    <w:qFormat/>
    <w:uiPriority w:val="99"/>
    <w:rPr>
      <w:rFonts w:ascii="黑体" w:hAnsi="Times New Roman" w:eastAsia="黑体" w:cs="黑体"/>
      <w:kern w:val="0"/>
      <w:szCs w:val="21"/>
    </w:rPr>
  </w:style>
  <w:style w:type="character" w:customStyle="1" w:styleId="64">
    <w:name w:val="章标题 字符"/>
    <w:basedOn w:val="63"/>
    <w:link w:val="47"/>
    <w:qFormat/>
    <w:uiPriority w:val="0"/>
    <w:rPr>
      <w:rFonts w:ascii="黑体" w:hAnsi="Times New Roman" w:eastAsia="黑体" w:cs="黑体"/>
      <w:kern w:val="0"/>
      <w:szCs w:val="21"/>
    </w:rPr>
  </w:style>
  <w:style w:type="character" w:customStyle="1" w:styleId="65">
    <w:name w:val="标准文件_一级条标题 字符"/>
    <w:basedOn w:val="63"/>
    <w:link w:val="59"/>
    <w:qFormat/>
    <w:uiPriority w:val="99"/>
    <w:rPr>
      <w:rFonts w:ascii="黑体" w:hAnsi="Times New Roman" w:eastAsia="黑体" w:cs="黑体"/>
      <w:kern w:val="0"/>
      <w:szCs w:val="21"/>
    </w:rPr>
  </w:style>
  <w:style w:type="character" w:customStyle="1" w:styleId="66">
    <w:name w:val="一级条标题 字符"/>
    <w:basedOn w:val="65"/>
    <w:link w:val="62"/>
    <w:qFormat/>
    <w:uiPriority w:val="0"/>
    <w:rPr>
      <w:rFonts w:ascii="黑体" w:hAnsi="Times New Roman" w:eastAsia="黑体" w:cs="黑体"/>
      <w:kern w:val="0"/>
      <w:szCs w:val="21"/>
    </w:rPr>
  </w:style>
  <w:style w:type="paragraph" w:customStyle="1" w:styleId="67">
    <w:name w:val="术语"/>
    <w:basedOn w:val="50"/>
    <w:next w:val="50"/>
    <w:link w:val="69"/>
    <w:qFormat/>
    <w:uiPriority w:val="0"/>
    <w:rPr>
      <w:rFonts w:eastAsia="黑体"/>
    </w:rPr>
  </w:style>
  <w:style w:type="character" w:customStyle="1" w:styleId="68">
    <w:name w:val="段 Char"/>
    <w:qFormat/>
    <w:uiPriority w:val="0"/>
    <w:rPr>
      <w:rFonts w:ascii="宋体"/>
      <w:sz w:val="21"/>
      <w:lang w:val="en-US" w:eastAsia="zh-CN" w:bidi="ar-SA"/>
    </w:rPr>
  </w:style>
  <w:style w:type="character" w:customStyle="1" w:styleId="69">
    <w:name w:val="术语 字符"/>
    <w:basedOn w:val="54"/>
    <w:link w:val="67"/>
    <w:qFormat/>
    <w:uiPriority w:val="0"/>
    <w:rPr>
      <w:rFonts w:ascii="Times New Roman" w:hAnsi="Times New Roman" w:eastAsia="黑体" w:cs="Calibri"/>
      <w:szCs w:val="21"/>
    </w:rPr>
  </w:style>
  <w:style w:type="paragraph" w:customStyle="1" w:styleId="70">
    <w:name w:val="注"/>
    <w:basedOn w:val="50"/>
    <w:next w:val="50"/>
    <w:link w:val="72"/>
    <w:qFormat/>
    <w:uiPriority w:val="0"/>
    <w:pPr>
      <w:widowControl/>
      <w:tabs>
        <w:tab w:val="center" w:pos="4201"/>
        <w:tab w:val="right" w:leader="dot" w:pos="9298"/>
      </w:tabs>
      <w:autoSpaceDE w:val="0"/>
      <w:autoSpaceDN w:val="0"/>
      <w:adjustRightInd/>
      <w:ind w:firstLine="360"/>
    </w:pPr>
    <w:rPr>
      <w:rFonts w:eastAsia="黑体"/>
      <w:sz w:val="18"/>
      <w:szCs w:val="18"/>
    </w:rPr>
  </w:style>
  <w:style w:type="paragraph" w:customStyle="1" w:styleId="71">
    <w:name w:val="二级条标题"/>
    <w:basedOn w:val="55"/>
    <w:next w:val="50"/>
    <w:link w:val="74"/>
    <w:qFormat/>
    <w:uiPriority w:val="0"/>
    <w:pPr>
      <w:spacing w:before="50" w:beforeLines="50" w:after="50" w:afterLines="50"/>
    </w:pPr>
  </w:style>
  <w:style w:type="character" w:customStyle="1" w:styleId="72">
    <w:name w:val="注 字符"/>
    <w:basedOn w:val="54"/>
    <w:link w:val="70"/>
    <w:qFormat/>
    <w:uiPriority w:val="0"/>
    <w:rPr>
      <w:rFonts w:ascii="Times New Roman" w:hAnsi="Times New Roman" w:eastAsia="黑体" w:cs="Calibri"/>
      <w:sz w:val="18"/>
      <w:szCs w:val="18"/>
    </w:rPr>
  </w:style>
  <w:style w:type="character" w:customStyle="1" w:styleId="73">
    <w:name w:val="标准文件_二级条标题 字符"/>
    <w:basedOn w:val="25"/>
    <w:link w:val="55"/>
    <w:qFormat/>
    <w:uiPriority w:val="99"/>
    <w:rPr>
      <w:rFonts w:ascii="黑体" w:hAnsi="Times New Roman" w:eastAsia="黑体" w:cs="黑体"/>
      <w:kern w:val="0"/>
      <w:szCs w:val="21"/>
    </w:rPr>
  </w:style>
  <w:style w:type="character" w:customStyle="1" w:styleId="74">
    <w:name w:val="二级条标题 字符"/>
    <w:basedOn w:val="73"/>
    <w:link w:val="71"/>
    <w:qFormat/>
    <w:uiPriority w:val="0"/>
    <w:rPr>
      <w:rFonts w:ascii="黑体" w:hAnsi="Times New Roman" w:eastAsia="黑体" w:cs="黑体"/>
      <w:kern w:val="0"/>
      <w:szCs w:val="21"/>
    </w:rPr>
  </w:style>
  <w:style w:type="paragraph" w:customStyle="1" w:styleId="75">
    <w:name w:val="正文图题"/>
    <w:basedOn w:val="19"/>
    <w:next w:val="50"/>
    <w:link w:val="78"/>
    <w:qFormat/>
    <w:uiPriority w:val="0"/>
    <w:pPr>
      <w:numPr>
        <w:ilvl w:val="0"/>
        <w:numId w:val="2"/>
      </w:numPr>
      <w:spacing w:before="50" w:beforeLines="50" w:after="50" w:afterLines="50" w:line="240" w:lineRule="auto"/>
      <w:ind w:left="0" w:leftChars="0" w:firstLine="0" w:firstLineChars="0"/>
      <w:jc w:val="center"/>
    </w:pPr>
    <w:rPr>
      <w:rFonts w:eastAsia="黑体"/>
    </w:rPr>
  </w:style>
  <w:style w:type="paragraph" w:customStyle="1" w:styleId="76">
    <w:name w:val="字母列项"/>
    <w:basedOn w:val="61"/>
    <w:next w:val="50"/>
    <w:link w:val="80"/>
    <w:qFormat/>
    <w:uiPriority w:val="0"/>
    <w:pPr>
      <w:numPr>
        <w:ilvl w:val="0"/>
        <w:numId w:val="3"/>
      </w:numPr>
      <w:ind w:left="777" w:hanging="357" w:firstLineChars="0"/>
      <w:jc w:val="left"/>
    </w:pPr>
    <w:rPr>
      <w:rFonts w:cs="宋体"/>
    </w:rPr>
  </w:style>
  <w:style w:type="character" w:customStyle="1" w:styleId="77">
    <w:name w:val="图表目录 Char"/>
    <w:basedOn w:val="25"/>
    <w:link w:val="19"/>
    <w:semiHidden/>
    <w:qFormat/>
    <w:uiPriority w:val="99"/>
    <w:rPr>
      <w:rFonts w:ascii="Calibri" w:hAnsi="Calibri" w:eastAsia="宋体" w:cs="Calibri"/>
      <w:szCs w:val="21"/>
    </w:rPr>
  </w:style>
  <w:style w:type="character" w:customStyle="1" w:styleId="78">
    <w:name w:val="正文图题 字符"/>
    <w:basedOn w:val="77"/>
    <w:link w:val="75"/>
    <w:qFormat/>
    <w:uiPriority w:val="0"/>
    <w:rPr>
      <w:rFonts w:ascii="Calibri" w:hAnsi="Calibri" w:eastAsia="黑体" w:cs="Calibri"/>
      <w:szCs w:val="21"/>
    </w:rPr>
  </w:style>
  <w:style w:type="character" w:customStyle="1" w:styleId="79">
    <w:name w:val="列出段落 Char"/>
    <w:basedOn w:val="25"/>
    <w:link w:val="61"/>
    <w:qFormat/>
    <w:uiPriority w:val="99"/>
    <w:rPr>
      <w:rFonts w:ascii="Calibri" w:hAnsi="Calibri" w:eastAsia="宋体" w:cs="Calibri"/>
      <w:szCs w:val="21"/>
    </w:rPr>
  </w:style>
  <w:style w:type="character" w:customStyle="1" w:styleId="80">
    <w:name w:val="字母列项 字符"/>
    <w:basedOn w:val="79"/>
    <w:link w:val="76"/>
    <w:qFormat/>
    <w:uiPriority w:val="0"/>
    <w:rPr>
      <w:rFonts w:ascii="Calibri" w:hAnsi="Calibri" w:eastAsia="宋体" w:cs="宋体"/>
      <w:szCs w:val="21"/>
    </w:rPr>
  </w:style>
  <w:style w:type="paragraph" w:customStyle="1" w:styleId="81">
    <w:name w:val="正文表标题"/>
    <w:basedOn w:val="75"/>
    <w:next w:val="50"/>
    <w:link w:val="83"/>
    <w:qFormat/>
    <w:uiPriority w:val="0"/>
    <w:pPr>
      <w:numPr>
        <w:numId w:val="4"/>
      </w:numPr>
    </w:pPr>
  </w:style>
  <w:style w:type="paragraph" w:customStyle="1" w:styleId="82">
    <w:name w:val="三级条标题"/>
    <w:basedOn w:val="56"/>
    <w:next w:val="50"/>
    <w:link w:val="86"/>
    <w:qFormat/>
    <w:uiPriority w:val="0"/>
    <w:pPr>
      <w:spacing w:before="156" w:beforeLines="50" w:after="156" w:afterLines="50"/>
    </w:pPr>
  </w:style>
  <w:style w:type="character" w:customStyle="1" w:styleId="83">
    <w:name w:val="正文表标题 字符"/>
    <w:basedOn w:val="78"/>
    <w:link w:val="81"/>
    <w:qFormat/>
    <w:uiPriority w:val="0"/>
    <w:rPr>
      <w:rFonts w:ascii="Calibri" w:hAnsi="Calibri" w:eastAsia="黑体" w:cs="Calibri"/>
      <w:szCs w:val="21"/>
    </w:rPr>
  </w:style>
  <w:style w:type="paragraph" w:customStyle="1" w:styleId="84">
    <w:name w:val="列项（——）"/>
    <w:basedOn w:val="1"/>
    <w:link w:val="88"/>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85">
    <w:name w:val="标准文件_三级条标题 字符"/>
    <w:basedOn w:val="73"/>
    <w:link w:val="56"/>
    <w:qFormat/>
    <w:uiPriority w:val="99"/>
    <w:rPr>
      <w:rFonts w:ascii="黑体" w:hAnsi="Times New Roman" w:eastAsia="黑体" w:cs="黑体"/>
      <w:kern w:val="0"/>
      <w:szCs w:val="21"/>
    </w:rPr>
  </w:style>
  <w:style w:type="character" w:customStyle="1" w:styleId="86">
    <w:name w:val="三级条标题 字符"/>
    <w:basedOn w:val="85"/>
    <w:link w:val="82"/>
    <w:qFormat/>
    <w:uiPriority w:val="0"/>
    <w:rPr>
      <w:rFonts w:ascii="黑体" w:hAnsi="Times New Roman" w:eastAsia="黑体" w:cs="黑体"/>
      <w:kern w:val="0"/>
      <w:szCs w:val="21"/>
    </w:rPr>
  </w:style>
  <w:style w:type="table" w:customStyle="1" w:styleId="87">
    <w:name w:val="网格型1"/>
    <w:basedOn w:val="23"/>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列项（——） 字符"/>
    <w:basedOn w:val="25"/>
    <w:link w:val="84"/>
    <w:qFormat/>
    <w:uiPriority w:val="0"/>
    <w:rPr>
      <w:rFonts w:ascii="Times New Roman" w:hAnsi="Times New Roman" w:eastAsia="宋体" w:cs="黑体"/>
      <w:kern w:val="0"/>
      <w:szCs w:val="21"/>
    </w:rPr>
  </w:style>
  <w:style w:type="paragraph" w:customStyle="1" w:styleId="89">
    <w:name w:val="正文公式"/>
    <w:basedOn w:val="1"/>
    <w:link w:val="91"/>
    <w:qFormat/>
    <w:uiPriority w:val="0"/>
    <w:pPr>
      <w:tabs>
        <w:tab w:val="center" w:pos="2520"/>
        <w:tab w:val="right" w:pos="5040"/>
      </w:tabs>
      <w:jc w:val="center"/>
    </w:pPr>
    <w:rPr>
      <w:rFonts w:ascii="宋体" w:hAnsi="宋体" w:eastAsia="宋体" w:cs="宋体"/>
      <w:szCs w:val="18"/>
    </w:rPr>
  </w:style>
  <w:style w:type="paragraph" w:customStyle="1" w:styleId="90">
    <w:name w:val="正文公式1"/>
    <w:basedOn w:val="50"/>
    <w:next w:val="50"/>
    <w:qFormat/>
    <w:uiPriority w:val="0"/>
    <w:pPr>
      <w:tabs>
        <w:tab w:val="center" w:pos="4200"/>
        <w:tab w:val="right" w:leader="dot" w:pos="9030"/>
      </w:tabs>
      <w:ind w:firstLine="0" w:firstLineChars="0"/>
      <w:jc w:val="left"/>
    </w:pPr>
  </w:style>
  <w:style w:type="character" w:customStyle="1" w:styleId="91">
    <w:name w:val="正文公式 字符"/>
    <w:basedOn w:val="25"/>
    <w:link w:val="89"/>
    <w:qFormat/>
    <w:uiPriority w:val="0"/>
    <w:rPr>
      <w:rFonts w:ascii="宋体" w:hAnsi="宋体" w:eastAsia="宋体" w:cs="宋体"/>
      <w:szCs w:val="18"/>
    </w:rPr>
  </w:style>
  <w:style w:type="character" w:customStyle="1" w:styleId="92">
    <w:name w:val="批注文字 Char"/>
    <w:link w:val="12"/>
    <w:qFormat/>
    <w:uiPriority w:val="0"/>
    <w:rPr>
      <w:szCs w:val="24"/>
    </w:rPr>
  </w:style>
  <w:style w:type="paragraph" w:customStyle="1" w:styleId="93">
    <w:name w:val="附录标识"/>
    <w:basedOn w:val="1"/>
    <w:next w:val="50"/>
    <w:link w:val="96"/>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4">
    <w:name w:val="附录标题"/>
    <w:basedOn w:val="93"/>
    <w:next w:val="50"/>
    <w:link w:val="97"/>
    <w:qFormat/>
    <w:uiPriority w:val="0"/>
    <w:pPr>
      <w:numPr>
        <w:ilvl w:val="0"/>
        <w:numId w:val="5"/>
      </w:numPr>
      <w:spacing w:after="360" w:line="360" w:lineRule="exact"/>
    </w:pPr>
  </w:style>
  <w:style w:type="paragraph" w:customStyle="1" w:styleId="95">
    <w:name w:val="附录章标题"/>
    <w:basedOn w:val="94"/>
    <w:next w:val="50"/>
    <w:link w:val="99"/>
    <w:qFormat/>
    <w:uiPriority w:val="0"/>
    <w:pPr>
      <w:numPr>
        <w:ilvl w:val="1"/>
      </w:numPr>
      <w:tabs>
        <w:tab w:val="clear" w:pos="360"/>
        <w:tab w:val="clear" w:pos="6405"/>
      </w:tabs>
      <w:spacing w:before="100" w:beforeLines="100" w:after="100" w:afterLines="100" w:line="240" w:lineRule="auto"/>
      <w:jc w:val="left"/>
    </w:pPr>
  </w:style>
  <w:style w:type="character" w:customStyle="1" w:styleId="96">
    <w:name w:val="附录标识 字符"/>
    <w:basedOn w:val="25"/>
    <w:link w:val="93"/>
    <w:qFormat/>
    <w:uiPriority w:val="0"/>
    <w:rPr>
      <w:rFonts w:ascii="黑体" w:hAnsi="Times New Roman" w:eastAsia="黑体" w:cs="Times New Roman"/>
      <w:kern w:val="0"/>
      <w:szCs w:val="20"/>
      <w:shd w:val="clear" w:color="FFFFFF" w:fill="FFFFFF"/>
    </w:rPr>
  </w:style>
  <w:style w:type="character" w:customStyle="1" w:styleId="97">
    <w:name w:val="附录标题 字符"/>
    <w:basedOn w:val="96"/>
    <w:link w:val="94"/>
    <w:qFormat/>
    <w:uiPriority w:val="0"/>
    <w:rPr>
      <w:rFonts w:ascii="黑体" w:hAnsi="Times New Roman" w:eastAsia="黑体" w:cs="Times New Roman"/>
      <w:kern w:val="0"/>
      <w:szCs w:val="20"/>
      <w:shd w:val="clear" w:color="FFFFFF" w:fill="FFFFFF"/>
    </w:rPr>
  </w:style>
  <w:style w:type="paragraph" w:customStyle="1" w:styleId="98">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9">
    <w:name w:val="附录章标题 字符"/>
    <w:basedOn w:val="97"/>
    <w:link w:val="95"/>
    <w:qFormat/>
    <w:uiPriority w:val="0"/>
    <w:rPr>
      <w:rFonts w:ascii="黑体" w:hAnsi="Times New Roman" w:eastAsia="黑体" w:cs="Times New Roman"/>
      <w:kern w:val="0"/>
      <w:szCs w:val="20"/>
      <w:shd w:val="clear" w:color="FFFFFF" w:fill="FFFFFF"/>
    </w:rPr>
  </w:style>
  <w:style w:type="paragraph" w:customStyle="1" w:styleId="100">
    <w:name w:val="正文图标题"/>
    <w:next w:val="50"/>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0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02">
    <w:name w:val="标准文件_页脚偶数页"/>
    <w:qFormat/>
    <w:uiPriority w:val="99"/>
    <w:rPr>
      <w:rFonts w:ascii="宋体" w:hAnsi="Times New Roman" w:eastAsia="宋体" w:cs="宋体"/>
      <w:sz w:val="18"/>
      <w:szCs w:val="18"/>
      <w:lang w:val="en-US" w:eastAsia="zh-CN" w:bidi="ar-SA"/>
    </w:rPr>
  </w:style>
  <w:style w:type="paragraph" w:customStyle="1" w:styleId="103">
    <w:name w:val="附录一级条标题"/>
    <w:basedOn w:val="95"/>
    <w:next w:val="50"/>
    <w:link w:val="104"/>
    <w:qFormat/>
    <w:uiPriority w:val="0"/>
    <w:pPr>
      <w:numPr>
        <w:ilvl w:val="2"/>
      </w:numPr>
      <w:spacing w:before="156" w:beforeLines="50" w:after="156" w:afterLines="50"/>
    </w:pPr>
  </w:style>
  <w:style w:type="character" w:customStyle="1" w:styleId="104">
    <w:name w:val="附录一级条标题 字符"/>
    <w:basedOn w:val="99"/>
    <w:link w:val="103"/>
    <w:qFormat/>
    <w:uiPriority w:val="0"/>
    <w:rPr>
      <w:rFonts w:ascii="黑体" w:hAnsi="Times New Roman" w:eastAsia="黑体" w:cs="Times New Roman"/>
      <w:kern w:val="0"/>
      <w:szCs w:val="20"/>
      <w:shd w:val="clear" w:color="FFFFFF" w:fill="FFFFFF"/>
    </w:rPr>
  </w:style>
  <w:style w:type="paragraph" w:customStyle="1" w:styleId="105">
    <w:name w:val="附录图标题"/>
    <w:basedOn w:val="94"/>
    <w:next w:val="50"/>
    <w:link w:val="107"/>
    <w:qFormat/>
    <w:uiPriority w:val="0"/>
    <w:pPr>
      <w:numPr>
        <w:ilvl w:val="0"/>
        <w:numId w:val="7"/>
      </w:numPr>
      <w:spacing w:before="50" w:beforeLines="50" w:after="50" w:afterLines="50" w:line="240" w:lineRule="auto"/>
    </w:pPr>
  </w:style>
  <w:style w:type="paragraph" w:customStyle="1" w:styleId="106">
    <w:name w:val="附录表标题"/>
    <w:basedOn w:val="1"/>
    <w:next w:val="50"/>
    <w:qFormat/>
    <w:uiPriority w:val="0"/>
    <w:pPr>
      <w:tabs>
        <w:tab w:val="left" w:pos="180"/>
      </w:tabs>
      <w:spacing w:beforeLines="50" w:afterLines="50"/>
      <w:jc w:val="center"/>
    </w:pPr>
    <w:rPr>
      <w:rFonts w:ascii="黑体" w:hAnsi="Times New Roman" w:eastAsia="黑体" w:cs="Times New Roman"/>
      <w:szCs w:val="21"/>
    </w:rPr>
  </w:style>
  <w:style w:type="character" w:customStyle="1" w:styleId="107">
    <w:name w:val="附录图标题 字符"/>
    <w:basedOn w:val="97"/>
    <w:link w:val="105"/>
    <w:qFormat/>
    <w:uiPriority w:val="0"/>
    <w:rPr>
      <w:rFonts w:ascii="黑体" w:hAnsi="Times New Roman" w:eastAsia="黑体" w:cs="Times New Roman"/>
      <w:kern w:val="0"/>
      <w:szCs w:val="20"/>
      <w:shd w:val="clear" w:color="FFFFFF" w:fill="FFFFFF"/>
    </w:rPr>
  </w:style>
  <w:style w:type="paragraph" w:customStyle="1" w:styleId="108">
    <w:name w:val="样式1"/>
    <w:basedOn w:val="93"/>
    <w:next w:val="50"/>
    <w:link w:val="109"/>
    <w:qFormat/>
    <w:uiPriority w:val="0"/>
    <w:pPr>
      <w:spacing w:before="312" w:after="312"/>
    </w:pPr>
  </w:style>
  <w:style w:type="character" w:customStyle="1" w:styleId="109">
    <w:name w:val="样式1 字符"/>
    <w:basedOn w:val="96"/>
    <w:link w:val="108"/>
    <w:qFormat/>
    <w:uiPriority w:val="0"/>
    <w:rPr>
      <w:rFonts w:ascii="黑体" w:hAnsi="Times New Roman" w:eastAsia="黑体" w:cs="Times New Roman"/>
      <w:kern w:val="0"/>
      <w:szCs w:val="20"/>
      <w:shd w:val="clear" w:color="FFFFFF" w:fill="FFFFFF"/>
    </w:rPr>
  </w:style>
  <w:style w:type="paragraph" w:customStyle="1" w:styleId="110">
    <w:name w:val="附录图标题1"/>
    <w:basedOn w:val="17"/>
    <w:next w:val="50"/>
    <w:link w:val="112"/>
    <w:qFormat/>
    <w:uiPriority w:val="0"/>
    <w:pPr>
      <w:spacing w:before="156" w:beforeLines="50" w:after="156" w:afterLines="50" w:line="240" w:lineRule="auto"/>
    </w:pPr>
    <w:rPr>
      <w:rFonts w:eastAsia="黑体"/>
      <w:b w:val="0"/>
    </w:rPr>
  </w:style>
  <w:style w:type="paragraph" w:customStyle="1" w:styleId="111">
    <w:name w:val="附录表标题1"/>
    <w:basedOn w:val="110"/>
    <w:next w:val="50"/>
    <w:link w:val="113"/>
    <w:qFormat/>
    <w:uiPriority w:val="0"/>
    <w:pPr>
      <w:spacing w:before="50" w:after="50"/>
    </w:pPr>
  </w:style>
  <w:style w:type="character" w:customStyle="1" w:styleId="112">
    <w:name w:val="附录图标题1 字符"/>
    <w:basedOn w:val="44"/>
    <w:link w:val="110"/>
    <w:qFormat/>
    <w:uiPriority w:val="0"/>
    <w:rPr>
      <w:rFonts w:eastAsia="黑体"/>
      <w:b w:val="0"/>
      <w:kern w:val="28"/>
      <w:sz w:val="32"/>
      <w:szCs w:val="32"/>
    </w:rPr>
  </w:style>
  <w:style w:type="character" w:customStyle="1" w:styleId="113">
    <w:name w:val="附录表标题1 字符"/>
    <w:basedOn w:val="112"/>
    <w:link w:val="111"/>
    <w:qFormat/>
    <w:uiPriority w:val="0"/>
    <w:rPr>
      <w:rFonts w:eastAsia="黑体"/>
      <w:kern w:val="28"/>
      <w:sz w:val="32"/>
      <w:szCs w:val="32"/>
    </w:rPr>
  </w:style>
  <w:style w:type="paragraph" w:customStyle="1" w:styleId="114">
    <w:name w:val="参考文献、索引"/>
    <w:basedOn w:val="52"/>
    <w:next w:val="50"/>
    <w:link w:val="115"/>
    <w:qFormat/>
    <w:uiPriority w:val="0"/>
    <w:pPr>
      <w:spacing w:after="284"/>
    </w:pPr>
    <w:rPr>
      <w:rFonts w:ascii="黑体"/>
    </w:rPr>
  </w:style>
  <w:style w:type="character" w:customStyle="1" w:styleId="115">
    <w:name w:val="参考文献、索引 字符"/>
    <w:basedOn w:val="53"/>
    <w:link w:val="114"/>
    <w:qFormat/>
    <w:uiPriority w:val="0"/>
    <w:rPr>
      <w:rFonts w:ascii="黑体" w:eastAsia="黑体" w:hAnsiTheme="majorHAnsi" w:cstheme="majorBidi"/>
      <w:sz w:val="32"/>
      <w:szCs w:val="32"/>
    </w:rPr>
  </w:style>
  <w:style w:type="character" w:styleId="116">
    <w:name w:val="Placeholder Text"/>
    <w:basedOn w:val="25"/>
    <w:semiHidden/>
    <w:qFormat/>
    <w:uiPriority w:val="99"/>
    <w:rPr>
      <w:color w:val="808080"/>
    </w:rPr>
  </w:style>
  <w:style w:type="paragraph" w:customStyle="1" w:styleId="117">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18">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53003-5B53-4DA6-861E-749882F349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3635</Words>
  <Characters>4407</Characters>
  <Lines>42</Lines>
  <Paragraphs>12</Paragraphs>
  <TotalTime>6</TotalTime>
  <ScaleCrop>false</ScaleCrop>
  <LinksUpToDate>false</LinksUpToDate>
  <CharactersWithSpaces>4818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2022-08-12T03:05:00Z</dcterms:created>
  <dc:creator>Administrator</dc:creator>
  <cp:lastModifiedBy>Administrator</cp:lastModifiedBy>
  <cp:lastPrinted>2022-02-17T04:44:00Z</cp:lastPrinted>
  <dcterms:modified xsi:type="dcterms:W3CDTF">2022-11-08T07:47:53Z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71929D7C7F45435AB697043C2F02BE3E</vt:lpwstr>
  </property>
</Properties>
</file>