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eastAsia="zh-CN"/>
        </w:rPr>
        <w:t>《</w:t>
      </w:r>
      <w:r>
        <w:rPr>
          <w:rFonts w:hint="eastAsia" w:ascii="黑体" w:hAnsi="黑体" w:eastAsia="黑体" w:cs="黑体"/>
          <w:b/>
          <w:bCs/>
          <w:sz w:val="30"/>
          <w:szCs w:val="30"/>
        </w:rPr>
        <w:t>灵芝提取物</w:t>
      </w:r>
      <w:r>
        <w:rPr>
          <w:rFonts w:hint="eastAsia" w:ascii="黑体" w:hAnsi="黑体" w:eastAsia="黑体" w:cs="黑体"/>
          <w:b/>
          <w:bCs/>
          <w:sz w:val="30"/>
          <w:szCs w:val="30"/>
          <w:lang w:eastAsia="zh-CN"/>
        </w:rPr>
        <w:t>》</w:t>
      </w:r>
      <w:r>
        <w:rPr>
          <w:rFonts w:hint="eastAsia" w:ascii="黑体" w:hAnsi="黑体" w:eastAsia="黑体" w:cs="黑体"/>
          <w:b/>
          <w:bCs/>
          <w:sz w:val="30"/>
          <w:szCs w:val="30"/>
        </w:rPr>
        <w:t>团体标准</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 xml:space="preserve">征求意见稿 </w:t>
      </w:r>
      <w:r>
        <w:rPr>
          <w:rFonts w:hint="eastAsia" w:ascii="黑体" w:hAnsi="黑体" w:eastAsia="黑体" w:cs="黑体"/>
          <w:b/>
          <w:bCs/>
          <w:sz w:val="30"/>
          <w:szCs w:val="30"/>
        </w:rPr>
        <w:t>编制说明</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157" w:beforeLines="50" w:after="157" w:afterLines="50" w:line="240" w:lineRule="auto"/>
        <w:textAlignment w:val="auto"/>
        <w:rPr>
          <w:rFonts w:hint="eastAsia" w:ascii="宋体" w:hAnsi="宋体" w:eastAsia="宋体" w:cs="宋体"/>
          <w:b/>
          <w:bCs/>
          <w:spacing w:val="-11"/>
          <w:sz w:val="28"/>
          <w:szCs w:val="28"/>
        </w:rPr>
      </w:pPr>
      <w:r>
        <w:rPr>
          <w:rFonts w:hint="eastAsia" w:ascii="宋体" w:hAnsi="宋体" w:eastAsia="宋体" w:cs="宋体"/>
          <w:b/>
          <w:bCs/>
          <w:spacing w:val="-11"/>
          <w:sz w:val="28"/>
          <w:szCs w:val="28"/>
        </w:rPr>
        <w:t>工作简况，包括任务来源、起草单位、</w:t>
      </w:r>
      <w:r>
        <w:rPr>
          <w:rFonts w:hint="eastAsia" w:ascii="宋体" w:hAnsi="宋体" w:eastAsia="宋体" w:cs="宋体"/>
          <w:b/>
          <w:bCs/>
          <w:spacing w:val="-11"/>
          <w:sz w:val="28"/>
          <w:szCs w:val="28"/>
          <w:lang w:val="en-US" w:eastAsia="zh-CN"/>
        </w:rPr>
        <w:t>主要</w:t>
      </w:r>
      <w:r>
        <w:rPr>
          <w:rFonts w:hint="eastAsia" w:ascii="宋体" w:hAnsi="宋体" w:eastAsia="宋体" w:cs="宋体"/>
          <w:b/>
          <w:bCs/>
          <w:spacing w:val="-11"/>
          <w:sz w:val="28"/>
          <w:szCs w:val="28"/>
        </w:rPr>
        <w:t>起草人、</w:t>
      </w:r>
      <w:r>
        <w:rPr>
          <w:rFonts w:hint="eastAsia" w:ascii="宋体" w:hAnsi="宋体" w:eastAsia="宋体" w:cs="宋体"/>
          <w:b/>
          <w:bCs/>
          <w:spacing w:val="-11"/>
          <w:sz w:val="28"/>
          <w:szCs w:val="28"/>
          <w:lang w:val="en-US" w:eastAsia="zh-CN"/>
        </w:rPr>
        <w:t>参与过程、</w:t>
      </w:r>
      <w:r>
        <w:rPr>
          <w:rFonts w:hint="eastAsia" w:ascii="宋体" w:hAnsi="宋体" w:eastAsia="宋体" w:cs="宋体"/>
          <w:b/>
          <w:bCs/>
          <w:spacing w:val="-11"/>
          <w:sz w:val="28"/>
          <w:szCs w:val="28"/>
        </w:rPr>
        <w:t>主要工作及其所做的其他工作等；</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灵芝提取物是融合现代化制药新型技术的新型中药产品、保健食品和化妆品的原料，具有广阔的国内和国际市场，而中国又是灵芝市场的大国，原材料资源丰富，其产业化有良好的发展前景。为适应市场发展的需要，推动灵芝提取物行业的规范性建设，营造良好的市场环境，特提出《灵芝提取物》团体标准，本标准</w:t>
      </w:r>
      <w:r>
        <w:rPr>
          <w:rFonts w:hint="eastAsia" w:ascii="宋体" w:hAnsi="宋体" w:eastAsia="宋体" w:cs="宋体"/>
          <w:sz w:val="24"/>
          <w:szCs w:val="24"/>
          <w:lang w:eastAsia="zh-CN"/>
        </w:rPr>
        <w:t>由</w:t>
      </w:r>
      <w:r>
        <w:rPr>
          <w:rFonts w:hint="eastAsia" w:ascii="宋体" w:hAnsi="宋体" w:eastAsia="宋体" w:cs="宋体"/>
          <w:sz w:val="24"/>
          <w:szCs w:val="24"/>
          <w:lang w:val="en-US" w:eastAsia="zh-CN"/>
        </w:rPr>
        <w:t>金华寿仙谷药业有限公司</w:t>
      </w:r>
      <w:r>
        <w:rPr>
          <w:rFonts w:hint="eastAsia" w:ascii="宋体" w:hAnsi="宋体" w:eastAsia="宋体" w:cs="宋体"/>
          <w:sz w:val="24"/>
          <w:szCs w:val="24"/>
          <w:lang w:eastAsia="zh-CN"/>
        </w:rPr>
        <w:t>提出，由中国食品药品企业质量安全促进会归口</w:t>
      </w:r>
      <w:r>
        <w:rPr>
          <w:rFonts w:hint="eastAsia" w:ascii="宋体" w:hAnsi="宋体" w:eastAsia="宋体" w:cs="宋体"/>
          <w:sz w:val="24"/>
          <w:szCs w:val="24"/>
          <w:lang w:val="en-US" w:eastAsia="zh-CN"/>
        </w:rPr>
        <w:t>立项，</w:t>
      </w:r>
      <w:r>
        <w:rPr>
          <w:rFonts w:hint="eastAsia" w:ascii="宋体" w:hAnsi="宋体" w:eastAsia="宋体" w:cs="宋体"/>
          <w:sz w:val="24"/>
          <w:szCs w:val="24"/>
          <w:lang w:eastAsia="zh-CN"/>
        </w:rPr>
        <w:t>起草单位</w:t>
      </w:r>
      <w:r>
        <w:rPr>
          <w:rFonts w:hint="eastAsia" w:ascii="宋体" w:hAnsi="宋体" w:eastAsia="宋体" w:cs="宋体"/>
          <w:sz w:val="24"/>
          <w:szCs w:val="24"/>
          <w:lang w:val="en-US" w:eastAsia="zh-CN"/>
        </w:rPr>
        <w:t>有金华寿仙谷药业有限公司、吉林池润生物科技有限公司、武夷山元生泰生物科技有限公司、江西仙客来生物科技有限公司、广东青云山药业有限公司、开平健之源保健食品有限公司、浙江龙泉山食品有限公司、北京京诚生物科技有限公司、重庆市中药研究院、山东瑞芝生物科技股份有限公司、吉林省道地灵芝科学研究院等</w:t>
      </w:r>
      <w:r>
        <w:rPr>
          <w:rFonts w:hint="eastAsia" w:ascii="宋体" w:hAnsi="宋体" w:eastAsia="宋体" w:cs="宋体"/>
          <w:sz w:val="24"/>
          <w:szCs w:val="24"/>
          <w:lang w:eastAsia="zh-CN"/>
        </w:rPr>
        <w:t>，主要起草人</w:t>
      </w:r>
      <w:r>
        <w:rPr>
          <w:rFonts w:hint="eastAsia" w:ascii="宋体" w:hAnsi="宋体" w:eastAsia="宋体" w:cs="宋体"/>
          <w:sz w:val="24"/>
          <w:szCs w:val="24"/>
          <w:lang w:val="en-US" w:eastAsia="zh-CN"/>
        </w:rPr>
        <w:t>有xxx。现已完成初稿编写，并将进一步完善修改，</w:t>
      </w:r>
      <w:r>
        <w:rPr>
          <w:rFonts w:hint="eastAsia" w:ascii="宋体" w:hAnsi="宋体" w:eastAsia="宋体" w:cs="宋体"/>
          <w:sz w:val="24"/>
          <w:szCs w:val="24"/>
        </w:rPr>
        <w:t>本</w:t>
      </w:r>
      <w:r>
        <w:rPr>
          <w:rFonts w:hint="eastAsia" w:ascii="宋体" w:hAnsi="宋体" w:eastAsia="宋体" w:cs="宋体"/>
          <w:sz w:val="24"/>
          <w:szCs w:val="24"/>
          <w:lang w:val="en-US" w:eastAsia="zh-CN"/>
        </w:rPr>
        <w:t>标准中规定了本标准规定了灵芝提取物的术语和定义、原料要求、生产工艺、质量要求、检验方法、检验规则、标志、包装、运输和贮存、保质期。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textAlignment w:val="auto"/>
        <w:rPr>
          <w:rFonts w:hint="eastAsia" w:ascii="宋体" w:hAnsi="宋体" w:eastAsia="宋体" w:cs="宋体"/>
          <w:b/>
          <w:bCs/>
          <w:spacing w:val="-11"/>
          <w:sz w:val="28"/>
          <w:szCs w:val="28"/>
        </w:rPr>
      </w:pPr>
      <w:r>
        <w:rPr>
          <w:rFonts w:hint="eastAsia" w:ascii="仿宋" w:hAnsi="仿宋" w:eastAsia="仿宋" w:cs="仿宋"/>
          <w:b/>
          <w:bCs/>
          <w:spacing w:val="-11"/>
          <w:sz w:val="32"/>
          <w:szCs w:val="32"/>
          <w:lang w:val="en-US" w:eastAsia="zh-CN"/>
        </w:rPr>
        <w:t>二、</w:t>
      </w:r>
      <w:r>
        <w:rPr>
          <w:rFonts w:hint="eastAsia" w:ascii="宋体" w:hAnsi="宋体" w:eastAsia="宋体" w:cs="宋体"/>
          <w:b/>
          <w:bCs/>
          <w:spacing w:val="-11"/>
          <w:sz w:val="28"/>
          <w:szCs w:val="28"/>
        </w:rPr>
        <w:t>标准编制原则和确定标准主要内容及其论据，如项目的社会意义和经济性、技术指标、性能要求、检验方法、检验规则等；</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1、项目的社会意义和经济性</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健康消费的升级与进步，传统中医药学护理受到消费者重视，而灵芝提取物在医学中的具有重要的地位，在多重因素的驱动下，灵芝提取物的应用以及市场需求进一步释放。但截至目前，灵芝提取物在国际国内外缺少统一规范、广泛认可的统一标准。为适应市场经济规范发展的需要，满足现下实际需求，推动行业的健康规范发展。本标准适用于以多孔菌科赤芝为原料，经提取（水提）、浓缩、干燥制成的灵芝提取物。</w:t>
      </w:r>
      <w:bookmarkStart w:id="0" w:name="_Toc112825833"/>
      <w:bookmarkStart w:id="1" w:name="_Toc114177321"/>
    </w:p>
    <w:p>
      <w:pPr>
        <w:keepNext w:val="0"/>
        <w:keepLines w:val="0"/>
        <w:pageBreakBefore w:val="0"/>
        <w:widowControl w:val="0"/>
        <w:numPr>
          <w:ilvl w:val="0"/>
          <w:numId w:val="5"/>
        </w:numPr>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技术指标与性能</w:t>
      </w:r>
      <w:r>
        <w:rPr>
          <w:rFonts w:hint="eastAsia" w:ascii="宋体" w:hAnsi="宋体" w:eastAsia="宋体" w:cs="宋体"/>
          <w:b/>
          <w:bCs/>
          <w:sz w:val="24"/>
          <w:szCs w:val="24"/>
        </w:rPr>
        <w:t>要求</w:t>
      </w:r>
      <w:bookmarkEnd w:id="0"/>
      <w:bookmarkEnd w:id="1"/>
      <w:bookmarkStart w:id="2" w:name="_Toc114177322"/>
    </w:p>
    <w:p>
      <w:pPr>
        <w:pStyle w:val="4"/>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原料要求：灵芝应符合《中华人民共和国药典》（2020年版）一部的有关规定；水应符合 GB 5749 的有关规定。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生产工艺：赤芝子实体→前处理→提取（水提）→浓缩→干燥→收粉。生产卫生要求应符合 GB 14881 的相关规定。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指标灵芝提取物的感官要求应符合如下表内要求。</w:t>
      </w:r>
    </w:p>
    <w:tbl>
      <w:tblPr>
        <w:tblStyle w:val="5"/>
        <w:tblW w:w="91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4359"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性状</w:t>
            </w:r>
          </w:p>
        </w:tc>
        <w:tc>
          <w:tcPr>
            <w:tcW w:w="4359" w:type="dxa"/>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呈粉状，无结块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色泽</w:t>
            </w:r>
          </w:p>
        </w:tc>
        <w:tc>
          <w:tcPr>
            <w:tcW w:w="4359" w:type="dxa"/>
            <w:tcBorders>
              <w:top w:val="single" w:color="auto" w:sz="4"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highlight w:val="none"/>
                <w:lang w:val="en-US" w:eastAsia="zh-CN"/>
              </w:rPr>
              <w:t>黄</w:t>
            </w:r>
            <w:r>
              <w:rPr>
                <w:rFonts w:hint="eastAsia" w:ascii="宋体" w:hAnsi="宋体" w:eastAsia="宋体" w:cs="宋体"/>
                <w:sz w:val="18"/>
                <w:szCs w:val="18"/>
              </w:rPr>
              <w:t>棕色至棕褐色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滋味、气味</w:t>
            </w:r>
          </w:p>
        </w:tc>
        <w:tc>
          <w:tcPr>
            <w:tcW w:w="4359"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具本品特有的滋味、气味，无异味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杂质</w:t>
            </w:r>
          </w:p>
        </w:tc>
        <w:tc>
          <w:tcPr>
            <w:tcW w:w="4359"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无正常视力可见外来杂质</w:t>
            </w:r>
          </w:p>
        </w:tc>
      </w:tr>
    </w:tbl>
    <w:p>
      <w:pPr>
        <w:pStyle w:val="11"/>
        <w:keepNext w:val="0"/>
        <w:keepLines w:val="0"/>
        <w:pageBreakBefore w:val="0"/>
        <w:widowControl/>
        <w:kinsoku/>
        <w:wordWrap/>
        <w:overflowPunct/>
        <w:topLinePunct w:val="0"/>
        <w:autoSpaceDE w:val="0"/>
        <w:autoSpaceDN w:val="0"/>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标志性成分指标应符合下表内的要求。</w:t>
      </w:r>
    </w:p>
    <w:tbl>
      <w:tblPr>
        <w:tblStyle w:val="5"/>
        <w:tblW w:w="92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34"/>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234"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030"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234"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eastAsia="宋体" w:cs="宋体"/>
                <w:sz w:val="18"/>
                <w:szCs w:val="18"/>
              </w:rPr>
              <w:t xml:space="preserve">灵芝多糖（以无水葡萄糖计）/ </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g/100g</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tc>
        <w:tc>
          <w:tcPr>
            <w:tcW w:w="3030"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234" w:type="dxa"/>
            <w:shd w:val="clear" w:color="auto" w:fill="auto"/>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eastAsia="宋体" w:cs="宋体"/>
                <w:sz w:val="18"/>
                <w:szCs w:val="18"/>
                <w:lang w:val="en-US" w:eastAsia="zh-CN"/>
              </w:rPr>
              <w:t>灵芝</w:t>
            </w:r>
            <w:r>
              <w:rPr>
                <w:rFonts w:hint="eastAsia" w:ascii="宋体" w:hAnsi="宋体" w:eastAsia="宋体" w:cs="宋体"/>
                <w:sz w:val="18"/>
                <w:szCs w:val="18"/>
              </w:rPr>
              <w:t>三萜（以齐墩果酸计）/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g/100g</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    </w:t>
            </w:r>
          </w:p>
        </w:tc>
        <w:tc>
          <w:tcPr>
            <w:tcW w:w="3030"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r>
    </w:tbl>
    <w:p>
      <w:pPr>
        <w:pStyle w:val="12"/>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灵芝提取物的理化指标应符合下表要求。</w:t>
      </w:r>
    </w:p>
    <w:tbl>
      <w:tblPr>
        <w:tblStyle w:val="5"/>
        <w:tblW w:w="92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4"/>
        <w:gridCol w:w="3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484"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765"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84" w:type="dxa"/>
            <w:tcBorders>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水分/（g/100g）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c>
          <w:tcPr>
            <w:tcW w:w="3765" w:type="dxa"/>
            <w:tcBorders>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84" w:type="dxa"/>
            <w:tcBorders>
              <w:top w:val="single" w:color="auto" w:sz="4"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灰分/（g/100g）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c>
          <w:tcPr>
            <w:tcW w:w="3765" w:type="dxa"/>
            <w:tcBorders>
              <w:top w:val="single" w:color="auto" w:sz="4"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84"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粒度</w:t>
            </w:r>
          </w:p>
        </w:tc>
        <w:tc>
          <w:tcPr>
            <w:tcW w:w="3765" w:type="dxa"/>
            <w:tcBorders>
              <w:top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全部通过60目筛</w:t>
            </w:r>
          </w:p>
        </w:tc>
      </w:tr>
    </w:tbl>
    <w:p>
      <w:pPr>
        <w:pStyle w:val="12"/>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灵芝提取物的微生物限量应符合下表要求。</w:t>
      </w:r>
    </w:p>
    <w:tbl>
      <w:tblPr>
        <w:tblStyle w:val="5"/>
        <w:tblW w:w="91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04"/>
        <w:gridCol w:w="3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604"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540"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604"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菌落总数/(CFU/g)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c>
          <w:tcPr>
            <w:tcW w:w="3540"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3×10</w:t>
            </w:r>
            <w:r>
              <w:rPr>
                <w:rFonts w:hint="eastAsia" w:ascii="宋体" w:hAnsi="宋体" w:eastAsia="宋体" w:cs="宋体"/>
                <w:sz w:val="18"/>
                <w:szCs w:val="18"/>
                <w:vertAlign w:val="superscript"/>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60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霉菌和酵母/(CFU/g)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354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60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大肠菌群/(MPN/g)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c>
          <w:tcPr>
            <w:tcW w:w="354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60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沙门氏菌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p>
        </w:tc>
        <w:tc>
          <w:tcPr>
            <w:tcW w:w="3540"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0/25g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604"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 xml:space="preserve">金黄色葡萄球菌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tc>
        <w:tc>
          <w:tcPr>
            <w:tcW w:w="3540"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0/25g</w:t>
            </w:r>
          </w:p>
        </w:tc>
      </w:tr>
    </w:tbl>
    <w:p>
      <w:pPr>
        <w:pStyle w:val="12"/>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灵芝提取物的污染物限量应符合下表的要求。</w:t>
      </w:r>
    </w:p>
    <w:tbl>
      <w:tblPr>
        <w:tblStyle w:val="5"/>
        <w:tblW w:w="899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89"/>
        <w:gridCol w:w="3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405"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铅（以Pb计）/（mg/kg）            ≤</w:t>
            </w:r>
          </w:p>
        </w:tc>
        <w:tc>
          <w:tcPr>
            <w:tcW w:w="3405"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砷（以As计）/（mg/kg）            ≤</w:t>
            </w:r>
          </w:p>
        </w:tc>
        <w:tc>
          <w:tcPr>
            <w:tcW w:w="3405"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汞（以Hg计）/（mg/kg）            ≤</w:t>
            </w:r>
          </w:p>
        </w:tc>
        <w:tc>
          <w:tcPr>
            <w:tcW w:w="3405" w:type="dxa"/>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highlight w:val="none"/>
              </w:rPr>
              <w:t>0.</w:t>
            </w:r>
            <w:r>
              <w:rPr>
                <w:rFonts w:hint="eastAsia" w:ascii="宋体" w:hAnsi="宋体" w:eastAsia="宋体" w:cs="宋体"/>
                <w:sz w:val="18"/>
                <w:szCs w:val="18"/>
                <w:highlight w:val="none"/>
                <w:lang w:val="en-US" w:eastAsia="zh-CN"/>
              </w:rPr>
              <w:t>3</w:t>
            </w:r>
          </w:p>
        </w:tc>
      </w:tr>
    </w:tbl>
    <w:p>
      <w:pPr>
        <w:pStyle w:val="12"/>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灵芝提取物的农残含量应符合下表的要求。</w:t>
      </w:r>
    </w:p>
    <w:tbl>
      <w:tblPr>
        <w:tblStyle w:val="5"/>
        <w:tblW w:w="899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89"/>
        <w:gridCol w:w="3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项目</w:t>
            </w:r>
          </w:p>
        </w:tc>
        <w:tc>
          <w:tcPr>
            <w:tcW w:w="3405" w:type="dxa"/>
            <w:tcBorders>
              <w:top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六六六/（mg/kg）                    ≤</w:t>
            </w:r>
          </w:p>
        </w:tc>
        <w:tc>
          <w:tcPr>
            <w:tcW w:w="3405" w:type="dxa"/>
            <w:tcBorders>
              <w:top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589"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滴滴涕/（mg/kg）                    ≤</w:t>
            </w:r>
          </w:p>
        </w:tc>
        <w:tc>
          <w:tcPr>
            <w:tcW w:w="3405"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0.2</w:t>
            </w:r>
          </w:p>
        </w:tc>
      </w:tr>
    </w:tbl>
    <w:p>
      <w:pPr>
        <w:pStyle w:val="12"/>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净含量应符合国家质量监督检验检疫总局令第 75 号《定量包装商品计量监督管理办法》的规定。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3、检验规则</w:t>
      </w:r>
      <w:bookmarkEnd w:id="2"/>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产品检验分为型式检验和出厂检验。</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组批与抽样：以同一批投料、同一工艺、同一班次生产的同一规格的产品为一批，采用随机抽样法从同一批次产品中按照质量的万分之一比例抽取样品，抽样量为检测量的三倍。</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出厂检验：每批产品出厂前，均需经工厂检验部门检验合格，方能出厂。出厂检验项目包括本文件中的感官指标、灵芝多糖、灵芝三萜、水分、灰分、菌落总数和大肠杆菌。型式检验：标准文本质量要求规定的所有项目。</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正常生产时每年进行一次型式检验；有下列情况之一时，也应进行型式检验：</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560" w:firstLineChars="200"/>
        <w:textAlignment w:val="auto"/>
        <w:rPr>
          <w:rFonts w:hint="eastAsia" w:ascii="宋体" w:hAnsi="宋体" w:eastAsia="宋体" w:cs="宋体"/>
          <w:kern w:val="2"/>
          <w:sz w:val="24"/>
          <w:szCs w:val="24"/>
          <w:lang w:val="en-US" w:eastAsia="zh-CN" w:bidi="ar-SA"/>
        </w:rPr>
      </w:pPr>
      <w:r>
        <w:rPr>
          <w:rFonts w:hint="eastAsia" w:ascii="仿宋" w:hAnsi="仿宋" w:eastAsia="仿宋" w:cs="仿宋"/>
          <w:kern w:val="2"/>
          <w:sz w:val="28"/>
          <w:szCs w:val="28"/>
          <w:lang w:val="en-US" w:eastAsia="zh-CN" w:bidi="ar-SA"/>
        </w:rPr>
        <w:t xml:space="preserve">a)  </w:t>
      </w:r>
      <w:r>
        <w:rPr>
          <w:rFonts w:hint="eastAsia" w:ascii="宋体" w:hAnsi="宋体" w:eastAsia="宋体" w:cs="宋体"/>
          <w:kern w:val="2"/>
          <w:sz w:val="24"/>
          <w:szCs w:val="24"/>
          <w:lang w:val="en-US" w:eastAsia="zh-CN" w:bidi="ar-SA"/>
        </w:rPr>
        <w:t>原料来源变动较大时；</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  正式生产时，如配方、生产工艺有较大改变可能影响到产品的质量时；</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  产品停产</w:t>
      </w:r>
      <w:r>
        <w:rPr>
          <w:rFonts w:hint="default"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个月以上，恢复生产时；</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  出厂检验的结果与上次型式检验有较大差异时；</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e） 食品安全监督部门提出进行型式检验的要求。</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判定规则：检验结果全部符合本文件要求，则判定该批产品合格。微生物限量指标如有一项不合格，即判定该批产品为不合格。除微生物限量外的其他项目若有一项以上（含一项）不合格，应在同批产品中加倍重新抽取样品进行复检，复检后，若全部符合本文件要求时，判型式检验合格，否则为不合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b/>
          <w:bCs/>
          <w:spacing w:val="-11"/>
          <w:sz w:val="28"/>
          <w:szCs w:val="28"/>
        </w:rPr>
      </w:pPr>
      <w:r>
        <w:rPr>
          <w:rFonts w:hint="eastAsia" w:ascii="宋体" w:hAnsi="宋体" w:eastAsia="宋体" w:cs="宋体"/>
          <w:b/>
          <w:bCs/>
          <w:spacing w:val="-11"/>
          <w:sz w:val="28"/>
          <w:szCs w:val="28"/>
        </w:rPr>
        <w:t>三、与现行法律法规、强制性标准和其他有关标准的关系，采用国际标准的程度及水平的简要说明；</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标准内容通过文中的规范性引用而构成本文件必不可少的条款。其中，注日期的引用文件，仅该日期对应的版本适用于本文件；不注日期的引用文件，其最新版本（包括所有的修改单）适用于本文件。</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GB/T 191 包装储运图示标志</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4789.2 食品安全国家标准 食品微生物学检验 菌落总数测定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4789.3 食品安全国家标准 食品微生物学检验 大肠菌群计数</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4789.4 食品安全国家标准 食品微生物学检验 沙门氏菌检验</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4789.10 食品安全国家标准 食品微生物学检验 金黄色葡萄球菌检验</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4789.15 食品微生物学检验 霉菌和酵母计数</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5009.3 食品安全国家标准 食品中水分的测定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5009.4 食品安全国家标准 食品中灰分的测定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5009.11 食品安全国家标准食品中总砷及无机砷的测定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5009.12 食品安全国家标准食品中铅的测定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5009.15 食品安全国家标准 食品中镉的测定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5009.17 食品安全国家标准食品中总汞及有机汞的测定</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GB 5749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"http://standard.sist.org.cn/StdSearch/stdDetail.aspx?AppID=GB 5749-2022&amp;v=GB 5749$" \t "E:\\BJ\\2022_团标文案\\12-9%20灵芝提取物\\_blank"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生活饮用水卫生标准</w:t>
      </w:r>
      <w:r>
        <w:rPr>
          <w:rFonts w:hint="eastAsia" w:ascii="宋体" w:hAnsi="宋体" w:eastAsia="宋体" w:cs="宋体"/>
          <w:kern w:val="2"/>
          <w:sz w:val="24"/>
          <w:szCs w:val="24"/>
          <w:lang w:val="en-US" w:eastAsia="zh-CN" w:bidi="ar-SA"/>
        </w:rPr>
        <w:fldChar w:fldCharType="end"/>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7718 食品安全国家标准 预包装食品标签通则</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14881 食品安全国家标准 食品生产通用卫生规范</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GB 16740 食品安全国家标准 保健食品</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JJF 1070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"http://standard.sist.org.cn/StdSearch/stdDetail.aspx?AppID=JJF 1070-2005&amp;v=JJF 1070$" \t "E:\\BJ\\2022_团标文案\\12-9%20灵芝提取物\\_blank"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定量包装商品净含量计量检验规则</w:t>
      </w:r>
      <w:r>
        <w:rPr>
          <w:rFonts w:hint="eastAsia" w:ascii="宋体" w:hAnsi="宋体" w:eastAsia="宋体" w:cs="宋体"/>
          <w:kern w:val="2"/>
          <w:sz w:val="24"/>
          <w:szCs w:val="24"/>
          <w:lang w:val="en-US" w:eastAsia="zh-CN" w:bidi="ar-SA"/>
        </w:rPr>
        <w:fldChar w:fldCharType="end"/>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《定量包装商品计量监督管理办法》国家质量监督检验检疫总局令第75号（2005）</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《中华人民共和国药典》（2020年版）</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bCs/>
          <w:spacing w:val="-11"/>
          <w:sz w:val="28"/>
          <w:szCs w:val="28"/>
        </w:rPr>
      </w:pPr>
      <w:r>
        <w:rPr>
          <w:rFonts w:hint="eastAsia" w:ascii="仿宋" w:hAnsi="仿宋" w:eastAsia="仿宋" w:cs="仿宋"/>
          <w:b/>
          <w:bCs/>
          <w:spacing w:val="-11"/>
          <w:sz w:val="32"/>
          <w:szCs w:val="32"/>
        </w:rPr>
        <w:t>四、</w:t>
      </w:r>
      <w:r>
        <w:rPr>
          <w:rFonts w:hint="eastAsia" w:ascii="宋体" w:hAnsi="宋体" w:eastAsia="宋体" w:cs="宋体"/>
          <w:b/>
          <w:bCs/>
          <w:spacing w:val="-11"/>
          <w:sz w:val="28"/>
          <w:szCs w:val="28"/>
        </w:rPr>
        <w:t>重</w:t>
      </w:r>
      <w:r>
        <w:rPr>
          <w:rFonts w:hint="eastAsia" w:ascii="宋体" w:hAnsi="宋体" w:eastAsia="宋体" w:cs="宋体"/>
          <w:b/>
          <w:bCs/>
          <w:spacing w:val="-11"/>
          <w:sz w:val="28"/>
          <w:szCs w:val="28"/>
        </w:rPr>
        <w:t>大分歧意见的处理经过和依据；</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本文件在制定过程中未出现重大分歧意见。</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bCs/>
          <w:spacing w:val="-11"/>
          <w:sz w:val="28"/>
          <w:szCs w:val="28"/>
        </w:rPr>
      </w:pPr>
      <w:r>
        <w:rPr>
          <w:rFonts w:hint="eastAsia" w:ascii="仿宋" w:hAnsi="仿宋" w:eastAsia="仿宋" w:cs="仿宋"/>
          <w:b/>
          <w:bCs/>
          <w:spacing w:val="-11"/>
          <w:sz w:val="32"/>
          <w:szCs w:val="32"/>
        </w:rPr>
        <w:t>五、</w:t>
      </w:r>
      <w:r>
        <w:rPr>
          <w:rFonts w:hint="eastAsia" w:ascii="宋体" w:hAnsi="宋体" w:eastAsia="宋体" w:cs="宋体"/>
          <w:b/>
          <w:bCs/>
          <w:spacing w:val="-11"/>
          <w:sz w:val="28"/>
          <w:szCs w:val="28"/>
        </w:rPr>
        <w:t>贯彻促进会标准的要求和措施建议（包括组织措施、技术措施、过渡办法等内容）、标准实施建议等；</w:t>
      </w:r>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本文件发布后，应向相关企业进行宣传、贯彻，推荐执行该文件。</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bCs/>
          <w:spacing w:val="-11"/>
          <w:sz w:val="28"/>
          <w:szCs w:val="28"/>
        </w:rPr>
      </w:pPr>
      <w:r>
        <w:rPr>
          <w:rFonts w:hint="eastAsia" w:ascii="仿宋" w:hAnsi="仿宋" w:eastAsia="仿宋" w:cs="仿宋"/>
          <w:b/>
          <w:bCs/>
          <w:spacing w:val="-11"/>
          <w:sz w:val="32"/>
          <w:szCs w:val="32"/>
        </w:rPr>
        <w:t>六、</w:t>
      </w:r>
      <w:r>
        <w:rPr>
          <w:rFonts w:hint="eastAsia" w:ascii="宋体" w:hAnsi="宋体" w:eastAsia="宋体" w:cs="宋体"/>
          <w:b/>
          <w:bCs/>
          <w:spacing w:val="-11"/>
          <w:sz w:val="28"/>
          <w:szCs w:val="28"/>
        </w:rPr>
        <w:t>其他应予说明的事项。</w:t>
      </w:r>
      <w:bookmarkStart w:id="3" w:name="_GoBack"/>
      <w:bookmarkEnd w:id="3"/>
    </w:p>
    <w:p>
      <w:pPr>
        <w:pStyle w:val="1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8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黑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87B02F5"/>
    <w:multiLevelType w:val="multilevel"/>
    <w:tmpl w:val="387B02F5"/>
    <w:lvl w:ilvl="0" w:tentative="0">
      <w:start w:val="1"/>
      <w:numFmt w:val="lowerLetter"/>
      <w:pStyle w:val="1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44CD627"/>
    <w:multiLevelType w:val="singleLevel"/>
    <w:tmpl w:val="744CD627"/>
    <w:lvl w:ilvl="0" w:tentative="0">
      <w:start w:val="1"/>
      <w:numFmt w:val="chineseCounting"/>
      <w:suff w:val="nothing"/>
      <w:lvlText w:val="%1、"/>
      <w:lvlJc w:val="left"/>
      <w:rPr>
        <w:rFonts w:hint="eastAsia" w:ascii="宋体" w:hAnsi="宋体" w:eastAsia="宋体" w:cs="宋体"/>
        <w:sz w:val="28"/>
        <w:szCs w:val="28"/>
      </w:rPr>
    </w:lvl>
  </w:abstractNum>
  <w:abstractNum w:abstractNumId="4">
    <w:nsid w:val="781182D5"/>
    <w:multiLevelType w:val="singleLevel"/>
    <w:tmpl w:val="781182D5"/>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035A0578"/>
    <w:rsid w:val="00D5063D"/>
    <w:rsid w:val="035A0578"/>
    <w:rsid w:val="03936CB9"/>
    <w:rsid w:val="09E55D95"/>
    <w:rsid w:val="0A1E12A6"/>
    <w:rsid w:val="0C7A56D7"/>
    <w:rsid w:val="0CA710DF"/>
    <w:rsid w:val="121D0DB5"/>
    <w:rsid w:val="12F92791"/>
    <w:rsid w:val="13F2409C"/>
    <w:rsid w:val="17834AF8"/>
    <w:rsid w:val="17F43647"/>
    <w:rsid w:val="199D64FC"/>
    <w:rsid w:val="1A424B3D"/>
    <w:rsid w:val="1B561CF9"/>
    <w:rsid w:val="1C874A89"/>
    <w:rsid w:val="1E4E1D03"/>
    <w:rsid w:val="1F0A7D21"/>
    <w:rsid w:val="21ED179B"/>
    <w:rsid w:val="270E1F07"/>
    <w:rsid w:val="27932534"/>
    <w:rsid w:val="2A554419"/>
    <w:rsid w:val="2BD812EE"/>
    <w:rsid w:val="2D776454"/>
    <w:rsid w:val="2E586286"/>
    <w:rsid w:val="33D41102"/>
    <w:rsid w:val="353E5044"/>
    <w:rsid w:val="35CF507F"/>
    <w:rsid w:val="393B0C7E"/>
    <w:rsid w:val="39A102D5"/>
    <w:rsid w:val="3B7E7DE6"/>
    <w:rsid w:val="3BC26439"/>
    <w:rsid w:val="3EB72B54"/>
    <w:rsid w:val="4001102D"/>
    <w:rsid w:val="401D732F"/>
    <w:rsid w:val="41D91034"/>
    <w:rsid w:val="420A5383"/>
    <w:rsid w:val="42B51AA1"/>
    <w:rsid w:val="43DB7ECC"/>
    <w:rsid w:val="44D37FBC"/>
    <w:rsid w:val="47C84024"/>
    <w:rsid w:val="4AA541A9"/>
    <w:rsid w:val="4C1420C8"/>
    <w:rsid w:val="4D834671"/>
    <w:rsid w:val="4E5A52AA"/>
    <w:rsid w:val="4F734876"/>
    <w:rsid w:val="527903F5"/>
    <w:rsid w:val="53196F17"/>
    <w:rsid w:val="554F2E75"/>
    <w:rsid w:val="563C73D3"/>
    <w:rsid w:val="565F4EB3"/>
    <w:rsid w:val="58C83E84"/>
    <w:rsid w:val="5B022F52"/>
    <w:rsid w:val="5C3E7FB9"/>
    <w:rsid w:val="5D573A29"/>
    <w:rsid w:val="5DCD3CEB"/>
    <w:rsid w:val="5EF273B6"/>
    <w:rsid w:val="619568CD"/>
    <w:rsid w:val="622F6D22"/>
    <w:rsid w:val="63DE6CDD"/>
    <w:rsid w:val="6416019A"/>
    <w:rsid w:val="65E73470"/>
    <w:rsid w:val="68757459"/>
    <w:rsid w:val="694766FF"/>
    <w:rsid w:val="6AC0371F"/>
    <w:rsid w:val="6C89702F"/>
    <w:rsid w:val="6C9C6D62"/>
    <w:rsid w:val="6F1B4598"/>
    <w:rsid w:val="71431EA2"/>
    <w:rsid w:val="77FC724F"/>
    <w:rsid w:val="78113F1A"/>
    <w:rsid w:val="78F27B30"/>
    <w:rsid w:val="78FF6FF6"/>
    <w:rsid w:val="792A5DB6"/>
    <w:rsid w:val="79AD6A52"/>
    <w:rsid w:val="7BA93249"/>
    <w:rsid w:val="7C5331B5"/>
    <w:rsid w:val="7CA57EB5"/>
    <w:rsid w:val="7EFC0A2D"/>
    <w:rsid w:val="7F5B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
    <w:name w:val="NormalCharacter"/>
    <w:semiHidden/>
    <w:qFormat/>
    <w:uiPriority w:val="0"/>
    <w:rPr>
      <w:rFonts w:ascii="Calibri" w:hAnsi="Calibri" w:eastAsia="宋体" w:cs="Times New Roman"/>
      <w:kern w:val="2"/>
      <w:sz w:val="21"/>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二级条标题"/>
    <w:basedOn w:val="12"/>
    <w:next w:val="11"/>
    <w:qFormat/>
    <w:uiPriority w:val="0"/>
    <w:pPr>
      <w:numPr>
        <w:ilvl w:val="2"/>
        <w:numId w:val="1"/>
      </w:numPr>
      <w:spacing w:before="50" w:after="50"/>
      <w:outlineLvl w:val="3"/>
    </w:pPr>
  </w:style>
  <w:style w:type="paragraph" w:customStyle="1" w:styleId="14">
    <w:name w:val="三级条标题"/>
    <w:basedOn w:val="13"/>
    <w:next w:val="11"/>
    <w:qFormat/>
    <w:uiPriority w:val="0"/>
    <w:pPr>
      <w:numPr>
        <w:ilvl w:val="0"/>
        <w:numId w:val="0"/>
      </w:numPr>
      <w:outlineLvl w:val="4"/>
    </w:pPr>
  </w:style>
  <w:style w:type="paragraph" w:customStyle="1" w:styleId="15">
    <w:name w:val="正文表标题"/>
    <w:next w:val="1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17">
    <w:name w:val="段 Char"/>
    <w:basedOn w:val="7"/>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2348</Words>
  <Characters>2573</Characters>
  <Lines>0</Lines>
  <Paragraphs>0</Paragraphs>
  <TotalTime>4</TotalTime>
  <ScaleCrop>false</ScaleCrop>
  <LinksUpToDate>false</LinksUpToDate>
  <CharactersWithSpaces>2886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2022-12-16T07:36:00Z</dcterms:created>
  <dc:creator>Administrator</dc:creator>
  <cp:lastModifiedBy>WPS_1656656451</cp:lastModifiedBy>
  <dcterms:modified xsi:type="dcterms:W3CDTF">2023-07-04T05:49:27Z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CEDBF7E042BF48DCA512706436459021</vt:lpwstr>
  </property>
</Properties>
</file>