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15"/>
        </w:tabs>
        <w:spacing w:before="156" w:beforeLines="50" w:after="156" w:afterLines="50" w:line="440" w:lineRule="exact"/>
        <w:ind w:left="-440" w:leftChars="-200" w:right="-486" w:rightChars="-221"/>
        <w:jc w:val="center"/>
        <w:rPr>
          <w:rFonts w:ascii="方正小标宋简体" w:hAnsi="方正小标宋简体" w:eastAsia="方正小标宋简体" w:cs="方正小标宋简体"/>
          <w:b/>
          <w:bCs/>
          <w:sz w:val="30"/>
          <w:szCs w:val="30"/>
          <w:lang w:eastAsia="zh-CN"/>
        </w:rPr>
      </w:pPr>
      <w:r>
        <w:rPr>
          <w:rFonts w:hint="eastAsia" w:ascii="方正小标宋简体" w:hAnsi="方正小标宋简体" w:eastAsia="方正小标宋简体" w:cs="方正小标宋简体"/>
          <w:b/>
          <w:bCs/>
          <w:sz w:val="30"/>
          <w:szCs w:val="30"/>
          <w:lang w:eastAsia="zh-CN"/>
        </w:rPr>
        <w:t>《口服胶原蛋白生物利用度的评价方法》团体标准</w:t>
      </w:r>
    </w:p>
    <w:p>
      <w:pPr>
        <w:tabs>
          <w:tab w:val="left" w:pos="1815"/>
        </w:tabs>
        <w:spacing w:before="156" w:beforeLines="50" w:after="156" w:afterLines="50" w:line="440" w:lineRule="exact"/>
        <w:ind w:left="-440" w:leftChars="-200" w:right="-486" w:rightChars="-221"/>
        <w:jc w:val="center"/>
        <w:rPr>
          <w:rFonts w:ascii="方正小标宋简体" w:hAnsi="方正小标宋简体" w:eastAsia="方正小标宋简体" w:cs="方正小标宋简体"/>
          <w:b/>
          <w:bCs/>
          <w:sz w:val="30"/>
          <w:szCs w:val="30"/>
          <w:lang w:eastAsia="zh-CN"/>
        </w:rPr>
      </w:pPr>
      <w:r>
        <w:rPr>
          <w:rFonts w:hint="eastAsia" w:ascii="方正小标宋简体" w:hAnsi="方正小标宋简体" w:eastAsia="方正小标宋简体" w:cs="方正小标宋简体"/>
          <w:b/>
          <w:bCs/>
          <w:sz w:val="30"/>
          <w:szCs w:val="30"/>
          <w:lang w:eastAsia="zh-CN"/>
        </w:rPr>
        <w:t>（征求意见稿）编制说明</w:t>
      </w:r>
    </w:p>
    <w:p>
      <w:pPr>
        <w:pStyle w:val="4"/>
        <w:kinsoku w:val="0"/>
        <w:overflowPunct w:val="0"/>
        <w:spacing w:line="480" w:lineRule="exact"/>
        <w:ind w:left="-440" w:leftChars="-200" w:right="-486" w:rightChars="-221" w:firstLine="560" w:firstLineChars="200"/>
        <w:jc w:val="both"/>
        <w:rPr>
          <w:b/>
          <w:bCs/>
          <w:sz w:val="28"/>
          <w:szCs w:val="28"/>
          <w:lang w:eastAsia="zh-CN"/>
        </w:rPr>
      </w:pPr>
      <w:r>
        <w:rPr>
          <w:rFonts w:hint="eastAsia"/>
          <w:b/>
          <w:bCs/>
          <w:sz w:val="28"/>
          <w:szCs w:val="28"/>
          <w:lang w:eastAsia="zh-CN"/>
        </w:rPr>
        <w:t>一、工作简况：包括任务来源、起草单位、主要起草人、参与单位、主要工作及其所做的其他工作等；</w:t>
      </w:r>
    </w:p>
    <w:p>
      <w:pPr>
        <w:keepNext w:val="0"/>
        <w:keepLines w:val="0"/>
        <w:pageBreakBefore w:val="0"/>
        <w:widowControl w:val="0"/>
        <w:tabs>
          <w:tab w:val="left" w:pos="1815"/>
        </w:tabs>
        <w:kinsoku/>
        <w:wordWrap/>
        <w:overflowPunct/>
        <w:topLinePunct w:val="0"/>
        <w:autoSpaceDE w:val="0"/>
        <w:autoSpaceDN w:val="0"/>
        <w:bidi w:val="0"/>
        <w:adjustRightInd/>
        <w:snapToGrid/>
        <w:spacing w:line="440" w:lineRule="exact"/>
        <w:ind w:left="-440" w:leftChars="-200" w:right="-486" w:rightChars="-221" w:firstLine="480"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1、任务来源</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2020年全国标准化工作要点，大力推动实施标准化战略，持续深化标准化工作改革，加强标准体系建设，提升引领高质量发展的能力。依据《中华人民标准化法》以及《团体标准管理规定》相关规定，中国食品药品企业质量安全促进会决定制定《口服胶原蛋白生物利用度的评价方法》团体标准，满足企业及各方对口服胶原蛋白生物效价评估的实际需求，规范口服胶原蛋白产品生物利用度的评价方法，推动相关技术创新，促进行业健康快速发展。</w:t>
      </w:r>
    </w:p>
    <w:p>
      <w:pPr>
        <w:keepNext w:val="0"/>
        <w:keepLines w:val="0"/>
        <w:pageBreakBefore w:val="0"/>
        <w:widowControl w:val="0"/>
        <w:tabs>
          <w:tab w:val="left" w:pos="1815"/>
        </w:tabs>
        <w:kinsoku/>
        <w:wordWrap/>
        <w:overflowPunct/>
        <w:topLinePunct w:val="0"/>
        <w:autoSpaceDE w:val="0"/>
        <w:autoSpaceDN w:val="0"/>
        <w:bidi w:val="0"/>
        <w:adjustRightInd/>
        <w:snapToGrid/>
        <w:spacing w:line="44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2、制定背景</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目前市场上口服胶原蛋白产品逐渐走红，但其中所用胶原蛋白的动物来源、加工工艺和分子量大小存在较大差异，让消费者难以</w:t>
      </w:r>
      <w:bookmarkStart w:id="0" w:name="OLE_LINK1"/>
      <w:r>
        <w:rPr>
          <w:rFonts w:hint="eastAsia" w:ascii="宋体" w:hAnsi="宋体" w:eastAsia="宋体" w:cs="宋体"/>
          <w:sz w:val="24"/>
          <w:szCs w:val="24"/>
          <w:lang w:eastAsia="zh-CN"/>
        </w:rPr>
        <w:t>判断产品生物效价</w:t>
      </w:r>
      <w:bookmarkEnd w:id="0"/>
      <w:r>
        <w:rPr>
          <w:rFonts w:hint="eastAsia" w:ascii="宋体" w:hAnsi="宋体" w:eastAsia="宋体" w:cs="宋体"/>
          <w:sz w:val="24"/>
          <w:szCs w:val="24"/>
          <w:lang w:eastAsia="zh-CN"/>
        </w:rPr>
        <w:t>（也称生物利用度）的高低。然而，</w:t>
      </w:r>
      <w:bookmarkStart w:id="1" w:name="OLE_LINK3"/>
      <w:r>
        <w:rPr>
          <w:rFonts w:hint="eastAsia" w:ascii="宋体" w:hAnsi="宋体" w:eastAsia="宋体" w:cs="宋体"/>
          <w:sz w:val="24"/>
          <w:szCs w:val="24"/>
          <w:lang w:eastAsia="zh-CN"/>
        </w:rPr>
        <w:t>蛋白质和多肽的</w:t>
      </w:r>
      <w:bookmarkEnd w:id="1"/>
      <w:r>
        <w:rPr>
          <w:rFonts w:hint="eastAsia" w:ascii="宋体" w:hAnsi="宋体" w:eastAsia="宋体" w:cs="宋体"/>
          <w:sz w:val="24"/>
          <w:szCs w:val="24"/>
          <w:lang w:eastAsia="zh-CN"/>
        </w:rPr>
        <w:t>生物利用度评价极具挑战性，这主要与其易受体内肽酶作用而发生水解有关。</w:t>
      </w:r>
      <w:bookmarkStart w:id="2" w:name="OLE_LINK2"/>
      <w:r>
        <w:rPr>
          <w:rFonts w:hint="eastAsia" w:ascii="宋体" w:hAnsi="宋体" w:eastAsia="宋体" w:cs="宋体"/>
          <w:sz w:val="24"/>
          <w:szCs w:val="24"/>
          <w:lang w:eastAsia="zh-CN"/>
        </w:rPr>
        <w:t>生物活性</w:t>
      </w:r>
      <w:bookmarkEnd w:id="2"/>
      <w:r>
        <w:rPr>
          <w:rFonts w:hint="eastAsia" w:ascii="宋体" w:hAnsi="宋体" w:eastAsia="宋体" w:cs="宋体"/>
          <w:sz w:val="24"/>
          <w:szCs w:val="24"/>
          <w:lang w:eastAsia="zh-CN"/>
        </w:rPr>
        <w:t>蛋白（肽）是指能够发挥除营养价值以外生理学活性的蛋白质或多肽，故其生物利用度需要基于入血的活性肽段（而非游离氨基酸）来进行评价，这显著区别于普通食物蛋白生物利用度的评价。</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口服胶原蛋白是一类以动物结缔组织（如皮、骨和鳞）为原料制得的生物活性蛋白（肽）。大量</w:t>
      </w:r>
      <w:bookmarkStart w:id="3" w:name="OLE_LINK8"/>
      <w:r>
        <w:rPr>
          <w:rFonts w:hint="eastAsia" w:ascii="宋体" w:hAnsi="宋体" w:eastAsia="宋体" w:cs="宋体"/>
          <w:sz w:val="24"/>
          <w:szCs w:val="24"/>
          <w:lang w:eastAsia="zh-CN"/>
        </w:rPr>
        <w:t>动物和临床</w:t>
      </w:r>
      <w:bookmarkEnd w:id="3"/>
      <w:r>
        <w:rPr>
          <w:rFonts w:hint="eastAsia" w:ascii="宋体" w:hAnsi="宋体" w:eastAsia="宋体" w:cs="宋体"/>
          <w:sz w:val="24"/>
          <w:szCs w:val="24"/>
          <w:lang w:eastAsia="zh-CN"/>
        </w:rPr>
        <w:t>研究证据表明，胶原蛋白具有保护皮肤、关节、骨骼和心血管健康的活性。消化道、血液和组织细胞表面具有丰富多样的肽酶，这会对食源性生物活性蛋白（肽）造成显著的首过效应，因此，外周循环中食源性小肽（二/三肽为主）半衰期往往在10分钟以内、浓度通常仅在纳摩尔水平（活性浓度一般在微摩尔水平），从而难以到达各组织器官发挥生理活性。研究发现，胶原蛋白富含羟脯氨酸而较为耐受肽酶水解，其经消化吸收产生的</w:t>
      </w:r>
      <w:bookmarkStart w:id="4" w:name="OLE_LINK9"/>
      <w:r>
        <w:rPr>
          <w:rFonts w:hint="eastAsia" w:ascii="宋体" w:hAnsi="宋体" w:eastAsia="宋体" w:cs="宋体"/>
          <w:sz w:val="24"/>
          <w:szCs w:val="24"/>
          <w:lang w:eastAsia="zh-CN"/>
        </w:rPr>
        <w:t>含羟脯氨酸二/三肽</w:t>
      </w:r>
      <w:bookmarkEnd w:id="4"/>
      <w:r>
        <w:rPr>
          <w:rFonts w:hint="eastAsia" w:ascii="宋体" w:hAnsi="宋体" w:eastAsia="宋体" w:cs="宋体"/>
          <w:sz w:val="24"/>
          <w:szCs w:val="24"/>
          <w:lang w:eastAsia="zh-CN"/>
        </w:rPr>
        <w:t>（hydroxyproline-containing di-/tripeptides, HCP）在血液中可保持在微摩尔水平达6小时以上。HCP随血液循环分布于肝、肾、骨髓、皮肤、关节和软骨等器官和组织中，且具有多种独特的生理活性，如促进皮肤纤维原细胞生长，调节软骨细胞、成骨细胞、前脂肪细胞和辅助性 T 细胞分化，增加皮肤纤维原细胞、软骨细胞和关节滑膜细胞中透明质酸的合成等。因此，HCP是口服胶原蛋白产品发挥功能活性的关键物质基础。</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胶原蛋白的生物利用度可采用体外细胞模型和动物模型来进行评价。根据加拿大Betti</w:t>
      </w:r>
      <w:bookmarkStart w:id="5" w:name="OLE_LINK4"/>
      <w:r>
        <w:rPr>
          <w:rFonts w:hint="eastAsia" w:ascii="宋体" w:hAnsi="宋体" w:eastAsia="宋体" w:cs="宋体"/>
          <w:sz w:val="24"/>
          <w:szCs w:val="24"/>
          <w:lang w:eastAsia="zh-CN"/>
        </w:rPr>
        <w:t>教授研究团队（2017）报道</w:t>
      </w:r>
      <w:bookmarkEnd w:id="5"/>
      <w:r>
        <w:rPr>
          <w:rFonts w:hint="eastAsia" w:ascii="宋体" w:hAnsi="宋体" w:eastAsia="宋体" w:cs="宋体"/>
          <w:sz w:val="24"/>
          <w:szCs w:val="24"/>
          <w:lang w:eastAsia="zh-CN"/>
        </w:rPr>
        <w:t>，牛皮胶原蛋白肽在Caco-2肠上皮细胞单层模型中的生物利用度介于15%至23%之间，该研究基于氨基酸跨膜转运总量来计算胶原蛋白肽的生物利用度，缺少对HCP的定量和定性检测。加拿大Kubow教授研究团队（2021）报道了采用</w:t>
      </w:r>
      <w:bookmarkStart w:id="6" w:name="OLE_LINK5"/>
      <w:r>
        <w:rPr>
          <w:rFonts w:hint="eastAsia" w:ascii="宋体" w:hAnsi="宋体" w:eastAsia="宋体" w:cs="宋体"/>
          <w:sz w:val="24"/>
          <w:szCs w:val="24"/>
          <w:lang w:eastAsia="zh-CN"/>
        </w:rPr>
        <w:t>HIEC-6</w:t>
      </w:r>
      <w:bookmarkEnd w:id="6"/>
      <w:r>
        <w:rPr>
          <w:rFonts w:hint="eastAsia" w:ascii="宋体" w:hAnsi="宋体" w:eastAsia="宋体" w:cs="宋体"/>
          <w:sz w:val="24"/>
          <w:szCs w:val="24"/>
          <w:lang w:eastAsia="zh-CN"/>
        </w:rPr>
        <w:t>正常人肠上皮细胞模型来评价胶原蛋白肽的生物利用度，克服了Caco-2结肠癌细胞中寡肽转运体1（PEPT1）表达过低的缺陷，观察了几种典型HCP（包括Gly-Pro、Hyp-Gly、Ala-Hyp、Pro-Hyp和Gly-Pro-Hyp）的生物利用度（介于~10%至~90%），但缺少对胶原蛋白肽生物利用度的总体评价。中国学者王林等人（2015）采用大鼠药代动力学试验评价了罗非鱼鱼皮胶原的生物利用度，基于经口灌胃和静脉注射游离羟脯氨酸的曲线下面积，分别算得相对和绝对生物利用度为57.8%和49.6%，并鉴定了HCP的种类，但该研究中生物利用度仍是基于游离氨基酸算得，缺少基于HCP的生物利用度计算。</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口服胶原蛋白的生物效价评估对于规范消费市场和行业健康发展具有重要意义，经查询，国内尚无相关国家标准或行业标准。本文件旨在建立科学的口服胶原蛋白生物利用度评价方法，为口服胶原蛋白的功效评价和产品开发提供指导。</w:t>
      </w:r>
    </w:p>
    <w:p>
      <w:pPr>
        <w:keepNext w:val="0"/>
        <w:keepLines w:val="0"/>
        <w:pageBreakBefore w:val="0"/>
        <w:widowControl w:val="0"/>
        <w:tabs>
          <w:tab w:val="left" w:pos="1815"/>
        </w:tabs>
        <w:kinsoku/>
        <w:wordWrap/>
        <w:overflowPunct/>
        <w:topLinePunct w:val="0"/>
        <w:autoSpaceDE w:val="0"/>
        <w:autoSpaceDN w:val="0"/>
        <w:bidi w:val="0"/>
        <w:adjustRightInd/>
        <w:snapToGrid/>
        <w:spacing w:line="44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3、起草单位及起草人</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文件起草单位：中国保健协会食物营养与安全专业委员会、中国海洋大学、广西神冠胶原生物集团有限公司、中科梵肽（北京）科技发展有限公司、广东丸美生物技术股份有限公司、上海蔓森品牌管理有限公司、朗姿赛尔生物科技（广州）有限公司、华熙生物科技股份有限公司、山东海奥斯生物科技股份有限公司、杭州唯西贸易有限公司、济南法澜秀生物工程有限公司、馨辰生物（广东）有限公司、安徽佳洪健康产业有限公司、上海锦鲤吉品商业管理有限公司、河北肽都生物科技集团有限公司、深圳精准健康食品科技有限公司、嘉利达（平阳）明胶有限公司、广东伊丽汇美容科技有限公司、杭州大熊品牌管理有限公司、湖北优鲵可生物科技有限公司。</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本文件主要起草人：孙莉、吴浩浩、梁运贤、曲词、孙云起、周瑛、马得胜、付杰、宋立国、戴晶晶、杨金风、王文、宋琛、于文娟、付彩霞、顾卓键、邹清、邓晓春。</w:t>
      </w:r>
    </w:p>
    <w:p>
      <w:pPr>
        <w:keepNext w:val="0"/>
        <w:keepLines w:val="0"/>
        <w:pageBreakBefore w:val="0"/>
        <w:widowControl w:val="0"/>
        <w:tabs>
          <w:tab w:val="left" w:pos="1815"/>
        </w:tabs>
        <w:kinsoku/>
        <w:wordWrap/>
        <w:overflowPunct/>
        <w:topLinePunct w:val="0"/>
        <w:autoSpaceDE w:val="0"/>
        <w:autoSpaceDN w:val="0"/>
        <w:bidi w:val="0"/>
        <w:adjustRightInd/>
        <w:snapToGrid/>
        <w:spacing w:line="44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4、起草过程</w:t>
      </w:r>
    </w:p>
    <w:p>
      <w:pPr>
        <w:keepNext w:val="0"/>
        <w:keepLines w:val="0"/>
        <w:pageBreakBefore w:val="0"/>
        <w:widowControl w:val="0"/>
        <w:tabs>
          <w:tab w:val="left" w:pos="1815"/>
        </w:tabs>
        <w:kinsoku/>
        <w:wordWrap/>
        <w:overflowPunct/>
        <w:topLinePunct w:val="0"/>
        <w:autoSpaceDE w:val="0"/>
        <w:autoSpaceDN w:val="0"/>
        <w:bidi w:val="0"/>
        <w:adjustRightInd/>
        <w:snapToGrid/>
        <w:spacing w:line="44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4.1 标准研制阶段</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2022年9月，依据《中华人民共和国标准化法》、《国务院关于深化标准化工作改革方案》等文件的要求，按照中国食品药品企业质量安全促进会团体标准的制修订程序组织有关技术人员成立标准起草工作组，确定标准名称为《口服胶原蛋白产品的生物利用度评价》。</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2022年9～10月，标准起草工作组收集、整理相关标准化资料、专业文献等，为本文件的编制提供参考，并通过企业和学术界调研，了解行业内实际需求情况，经实验研究、研讨、论证后编写完成《口服胶原蛋白产品的生物利用度评价》初稿和立项申请书。</w:t>
      </w:r>
    </w:p>
    <w:p>
      <w:pPr>
        <w:keepNext w:val="0"/>
        <w:keepLines w:val="0"/>
        <w:pageBreakBefore w:val="0"/>
        <w:widowControl w:val="0"/>
        <w:tabs>
          <w:tab w:val="left" w:pos="1815"/>
        </w:tabs>
        <w:kinsoku/>
        <w:wordWrap/>
        <w:overflowPunct/>
        <w:topLinePunct w:val="0"/>
        <w:autoSpaceDE w:val="0"/>
        <w:autoSpaceDN w:val="0"/>
        <w:bidi w:val="0"/>
        <w:adjustRightInd/>
        <w:snapToGrid/>
        <w:spacing w:line="44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4.2 标准立项阶段</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国食品药品企业质量安全促进会于2022年12月30日召开《口服胶原蛋白产品的生物利用度评价》团体标准线上立项评审会议，由团体标准牵头单位项目负责人介绍了标准立项背景、必要性、技术指标及主要编制内容等，来自南海水产研究所、海南大学、西南大学、宁波大学和中国标准化研究院的专家对该项团体标准的必要性、可行性和科学性进行了审议，认为该标准草案符合标准的立项要求，并建议进一步细化完善标准框架内容、确认标准范围和分类及完善标准实验方法和数据。</w:t>
      </w:r>
    </w:p>
    <w:p>
      <w:pPr>
        <w:keepNext w:val="0"/>
        <w:keepLines w:val="0"/>
        <w:pageBreakBefore w:val="0"/>
        <w:widowControl w:val="0"/>
        <w:tabs>
          <w:tab w:val="left" w:pos="1815"/>
        </w:tabs>
        <w:kinsoku/>
        <w:wordWrap/>
        <w:overflowPunct/>
        <w:topLinePunct w:val="0"/>
        <w:autoSpaceDE w:val="0"/>
        <w:autoSpaceDN w:val="0"/>
        <w:bidi w:val="0"/>
        <w:adjustRightInd/>
        <w:snapToGrid/>
        <w:spacing w:line="44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4.3 标准起草阶段</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firstLine="480" w:firstLineChars="200"/>
        <w:jc w:val="both"/>
        <w:textAlignment w:val="auto"/>
        <w:rPr>
          <w:rFonts w:hint="eastAsia" w:ascii="宋体" w:hAnsi="宋体" w:eastAsia="宋体" w:cs="宋体"/>
          <w:sz w:val="24"/>
          <w:szCs w:val="24"/>
          <w:lang w:eastAsia="zh-CN"/>
        </w:rPr>
      </w:pPr>
      <w:bookmarkStart w:id="7" w:name="_Hlk117940364"/>
      <w:r>
        <w:rPr>
          <w:rFonts w:hint="eastAsia" w:ascii="宋体" w:hAnsi="宋体" w:eastAsia="宋体" w:cs="宋体"/>
          <w:sz w:val="24"/>
          <w:szCs w:val="24"/>
          <w:lang w:eastAsia="zh-CN"/>
        </w:rPr>
        <w:t>2023年1～2月，标准起草工作组根据立项会专家的建议，将该项团体标准的题目更改为《口服胶原蛋白生物利用度的评价方法》，将标准范围确定为食用胶原、明胶和胶原蛋白肽，完善了口服胶原蛋白的定义，并细化了动物实验方法和羟脯氨酸测定方法，进一步提升了该标准的科学性和可操作性</w:t>
      </w:r>
    </w:p>
    <w:bookmarkEnd w:id="7"/>
    <w:p>
      <w:pPr>
        <w:keepNext w:val="0"/>
        <w:keepLines w:val="0"/>
        <w:pageBreakBefore w:val="0"/>
        <w:widowControl w:val="0"/>
        <w:tabs>
          <w:tab w:val="left" w:pos="1815"/>
        </w:tabs>
        <w:kinsoku/>
        <w:wordWrap/>
        <w:overflowPunct/>
        <w:topLinePunct w:val="0"/>
        <w:autoSpaceDE w:val="0"/>
        <w:autoSpaceDN w:val="0"/>
        <w:bidi w:val="0"/>
        <w:adjustRightInd/>
        <w:snapToGrid/>
        <w:spacing w:line="44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4.4 征求意见阶段</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pPr>
        <w:keepNext w:val="0"/>
        <w:keepLines w:val="0"/>
        <w:pageBreakBefore w:val="0"/>
        <w:widowControl w:val="0"/>
        <w:tabs>
          <w:tab w:val="left" w:pos="1815"/>
        </w:tabs>
        <w:kinsoku/>
        <w:wordWrap/>
        <w:overflowPunct/>
        <w:topLinePunct w:val="0"/>
        <w:autoSpaceDE w:val="0"/>
        <w:autoSpaceDN w:val="0"/>
        <w:bidi w:val="0"/>
        <w:adjustRightInd/>
        <w:snapToGrid/>
        <w:spacing w:line="44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4.5 技术审查阶段</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440" w:leftChars="-200" w:right="-486" w:rightChars="-221"/>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pPr>
        <w:pStyle w:val="4"/>
        <w:kinsoku w:val="0"/>
        <w:overflowPunct w:val="0"/>
        <w:spacing w:line="480" w:lineRule="exact"/>
        <w:ind w:left="-440" w:leftChars="-200" w:right="-486" w:rightChars="-221" w:firstLine="560" w:firstLineChars="200"/>
        <w:jc w:val="both"/>
        <w:rPr>
          <w:b/>
          <w:bCs/>
          <w:sz w:val="28"/>
          <w:szCs w:val="28"/>
          <w:lang w:eastAsia="zh-CN"/>
        </w:rPr>
      </w:pPr>
      <w:r>
        <w:rPr>
          <w:rFonts w:hint="eastAsia"/>
          <w:b/>
          <w:bCs/>
          <w:sz w:val="28"/>
          <w:szCs w:val="28"/>
          <w:lang w:eastAsia="zh-CN"/>
        </w:rPr>
        <w:t>二、标准编制</w:t>
      </w:r>
      <w:r>
        <w:rPr>
          <w:rFonts w:hint="eastAsia"/>
          <w:b/>
          <w:bCs/>
          <w:sz w:val="28"/>
          <w:szCs w:val="28"/>
          <w:highlight w:val="none"/>
          <w:lang w:eastAsia="zh-CN"/>
        </w:rPr>
        <w:t>原则和确定标准主要内容及其论据，如项目的社会意义和经济性、技术指标、</w:t>
      </w:r>
      <w:r>
        <w:rPr>
          <w:rFonts w:hint="eastAsia"/>
          <w:b/>
          <w:bCs/>
          <w:sz w:val="28"/>
          <w:szCs w:val="28"/>
          <w:lang w:eastAsia="zh-CN"/>
        </w:rPr>
        <w:t>性能要求、检验方法、检验规则等；</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1、编制原则</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在标准制定过程中，标准起草工作组按照GB/T 1.1-2020 给出的规则编写，主要遵循以下原则：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（1）协调性: 保证标准与国内现行国家标准、行业标准协调一致。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（2）规范性：严格按照GB/T 1.1—2020《标准化工作导则 第1部分：标准化文件的结构和起草规则》给出的规则起草，保证标准的编写质量。</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（3）适用性：结合产品生产企业管理实践和产品的主要环境影响，提出对企业产品的具体质量要求和生产经营规范。</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2、主要内容及其确定依据</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2.1 适用范围</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本文件规定了口服胶原蛋白产品生物利用度的评价方法。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本文件适用于食用胶原、明胶和胶原蛋白肽的生物利用度评价。</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2.2 术语和定义</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本文件根据国内外文献的论述和理解，对口服胶原蛋白及其生物利用度进行了如下定义：</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口服胶原蛋白：以动物结缔组织（包括皮、骨、筋、腱、鳞等）为原料，经过提取、水解或精制生产的食用胶原（应符合GB 14967-2015的规定）、明胶（应符合GB 6783-2013的规定）和胶原蛋白肽（应符合GB 31645的规定）。</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生物利用度：生物利用度是指口服胶原蛋白产品经胃肠道消化吸收产生的活性肽段（即含羟脯氨酸二/三肽）进入全身循环的程度和速度，分为绝对生物利用度和相对生物利用度。绝对生物利用度是以静脉注射甘氨酰脯氨酰羟脯氨酸（Gly-Pro-Hyp）为参比获得的含羟脯氨酸二/三肽进入体内循环的相对量；相对生物利用度是以经口灌胃Gly-Pro-Hyp为参比获得的含羟脯氨酸二/三肽进入体内循环的相对量。</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2.3 生物利用度评价</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2.3.1 试剂</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除另有规定外，所有试剂均为分析纯。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试剂主要包括：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——实验用水：应符合 GB/T 6682 中一级水标准；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——0.9%氯化钠注射液，符合《中国药典》2015年版二部标准;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——硫酸；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——无水乙酸钠；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——氢氧化钠；</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——正丙醇；</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——高氯酸；</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——一水柠檬酸；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——对二氨基苯甲醛；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——三水 N-氯-对甲苯磺酰胺钠盐（氯胺T）；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——标准品：甘氨酸-脯氨酰羟脯氨酸（Gly-Pro-Hyp），纯度≥99%；</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2.3.2　受试物羟脯氨酸含量检测</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受试物的羟脯氨酸含量，按照GB/T 9695.23规定的酸解和显色方法检测。</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2.3.3　动物实验方法</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2.3.3.1 实验动物及分组</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选用300 g—350 g体重（6个月月龄）的雌性Sprague-Dawley大鼠，单笼饲养，自由摄食和饮水。待动物适应1周后，随机分组，每组8-12只，分为4组，即空白对照组、Gly-Pro-Hyp静脉注射组、Gly-Pro-Hyp经口灌胃组、受试样品组。</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2.3.3.2 受试样品配制</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bookmarkStart w:id="8" w:name="OLE_LINK138"/>
      <w:r>
        <w:rPr>
          <w:rFonts w:hint="eastAsia" w:ascii="宋体" w:hAnsi="宋体" w:eastAsia="宋体" w:cs="宋体"/>
          <w:sz w:val="24"/>
          <w:szCs w:val="24"/>
          <w:lang w:eastAsia="zh-CN"/>
        </w:rPr>
        <w:t>a）Gly-Pro-Hyp</w:t>
      </w:r>
      <w:bookmarkEnd w:id="8"/>
      <w:r>
        <w:rPr>
          <w:rFonts w:hint="eastAsia" w:ascii="宋体" w:hAnsi="宋体" w:eastAsia="宋体" w:cs="宋体"/>
          <w:sz w:val="24"/>
          <w:szCs w:val="24"/>
          <w:lang w:eastAsia="zh-CN"/>
        </w:rPr>
        <w:t>灌胃样品的配制方法为：称取0.5125 g Gly-Pro-Hyp粉末于10 mL离心管中，加入5 mL 0.9%氯化钠注射液，涡旋混匀1 min，即为0.1025 g/mL母液；</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b）Gly-Pro-Hyp静脉注射样品配制方法为：称取0.1640 g Gly-Pro-Hyp粉末于1.5 mL无菌离心管中，加入1 mL 0.9%氯化钠注射液，涡旋混匀1min，即为0.1640 g/mL注射液母液；</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c）受试样品配制方法为：称取0.5125 g 受试产品粉末于10 mL离心管中，加入5 mL 0.9%氯化钠注射液，涡旋混匀1 min，即为0.1025 g/mL母液。</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2.3.3.3 药代动力学方法</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大鼠禁食12 h（饮水正常供应）以排除饮食干扰，分别给予药物。</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——受试样品组：经口灌胃给予受试样品2 mL～4 mL（剂量以羟脯氨酸计，为82 mg羟脯氨酸/kg体重），将母液用0.9%氯化钠注射液稀释至相应浓度进行灌胃。 </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——空白对照组：经口灌胃给予受试样品组同体积0.9%氯化钠注射液。</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——Gly-Pro-Hyp经口灌胃组：通过经口灌胃的方式给予Gly-Pro-Hyp样品2 mL～4 mL（剂量以羟脯氨酸计，为82 mg羟脯氨酸/kg体重），将母液用0.9%氯化钠注射液稀释至相应浓度进行灌胃。</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——Gly-Pro-Hyp静脉注射组：通过尾静脉注射的方式给予Gly-Pro-Hyp 250 μL～500 μL（剂量以羟脯氨酸计，为82 mg羟脯氨酸/kg体重），将注射液母液用0.9%氯化钠注射液稀释至相应浓度进行注射。</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胶原蛋白肽的人体摄入剂量可按照保健食品一般推荐最大摄入量（10 g/d,60 kg体重）和胶原蛋白含有约8%羟脯氨酸（质量含量）计算，以羟脯氨酸计为18 mg/kg体重。根据日本学者Sato教授团队（2019）的报道，正常成年人每日摄入2份牛排或者1份鲨鱼尾时，胶原蛋白摄入量即可超过10 g/d，故本文件胶原蛋白肽人体摄入量估算是合理和安全的。根据等体表面积原则，大鼠等效剂量需要在人体剂量的基础上乘以6.2倍，故本文件中胶原蛋白肽给予大鼠的剂量设置为82 mg/kg。</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采用1.5 mL肝素化负压采血管尾静脉取血，各组采血时间点为0 h（药物给予前）、0.5 h、1 h、2 h、4 h、8 h和24 h，Gly-Pro-Hyp静脉注射组还需在药物给予后立即取血1次，每次取血大约500 μL。</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2.3.3.4 血液样本处理</w:t>
      </w:r>
    </w:p>
    <w:p>
      <w:pPr>
        <w:pStyle w:val="4"/>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不同时间点收集到的静脉血负压管，4℃静置30 min后，离心力3500 g下离心15 min，吸出血液分层上清，即为血浆。</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2.3.4　血浆羟脯氨酸测定</w:t>
      </w:r>
    </w:p>
    <w:p>
      <w:pPr>
        <w:pStyle w:val="30"/>
        <w:keepNext w:val="0"/>
        <w:keepLines w:val="0"/>
        <w:pageBreakBefore w:val="0"/>
        <w:numPr>
          <w:ilvl w:val="0"/>
          <w:numId w:val="1"/>
        </w:numPr>
        <w:kinsoku/>
        <w:wordWrap/>
        <w:overflowPunct/>
        <w:topLinePunct w:val="0"/>
        <w:autoSpaceDE w:val="0"/>
        <w:autoSpaceDN w:val="0"/>
        <w:bidi w:val="0"/>
        <w:adjustRightInd/>
        <w:snapToGrid/>
        <w:spacing w:line="480" w:lineRule="exact"/>
        <w:ind w:left="-440" w:leftChars="-200" w:right="-486" w:rightChars="-221" w:firstLine="0" w:firstLineChars="0"/>
        <w:textAlignment w:val="auto"/>
        <w:rPr>
          <w:rFonts w:hint="eastAsia" w:ascii="宋体" w:hAnsi="宋体" w:eastAsia="宋体" w:cs="宋体"/>
          <w:sz w:val="24"/>
          <w:szCs w:val="24"/>
        </w:rPr>
      </w:pPr>
      <w:bookmarkStart w:id="9" w:name="_Hlk126945642"/>
      <w:r>
        <w:rPr>
          <w:rFonts w:hint="eastAsia" w:ascii="宋体" w:hAnsi="宋体" w:eastAsia="宋体" w:cs="宋体"/>
          <w:sz w:val="24"/>
          <w:szCs w:val="24"/>
        </w:rPr>
        <w:t>血浆总羟脯氨酸的含量：40 μL血浆与300 μL硫酸（3 mol/L）在1 mL安剖瓶中混合，封口后置于105℃烘箱内恒温16 h，0.22 μm滤膜过滤后，取清液按照GB/T 9695.23规定的显色方法测定羟脯氨酸浓度，具体操作方法如下：</w:t>
      </w:r>
    </w:p>
    <w:p>
      <w:pPr>
        <w:pStyle w:val="30"/>
        <w:keepNext w:val="0"/>
        <w:keepLines w:val="0"/>
        <w:pageBreakBefore w:val="0"/>
        <w:numPr>
          <w:ilvl w:val="3"/>
          <w:numId w:val="2"/>
        </w:numPr>
        <w:kinsoku/>
        <w:wordWrap/>
        <w:overflowPunct/>
        <w:topLinePunct w:val="0"/>
        <w:autoSpaceDE w:val="0"/>
        <w:autoSpaceDN w:val="0"/>
        <w:bidi w:val="0"/>
        <w:adjustRightInd/>
        <w:snapToGrid/>
        <w:spacing w:line="480" w:lineRule="exact"/>
        <w:ind w:left="-440" w:leftChars="-200" w:right="-486" w:rightChars="-221"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移取40 μL上述样品溶液、空白（超纯水）或羟脯氨酸标准溶液（0.05 μg/mL~15 μg/mL，现用现配）于离心管中，加入20 μL氯胺T试剂（临用前配置），混合后于室温下放置20 min ± 1 min。</w:t>
      </w:r>
    </w:p>
    <w:p>
      <w:pPr>
        <w:pStyle w:val="30"/>
        <w:keepNext w:val="0"/>
        <w:keepLines w:val="0"/>
        <w:pageBreakBefore w:val="0"/>
        <w:numPr>
          <w:ilvl w:val="3"/>
          <w:numId w:val="2"/>
        </w:numPr>
        <w:kinsoku/>
        <w:wordWrap/>
        <w:overflowPunct/>
        <w:topLinePunct w:val="0"/>
        <w:autoSpaceDE w:val="0"/>
        <w:autoSpaceDN w:val="0"/>
        <w:bidi w:val="0"/>
        <w:adjustRightInd/>
        <w:snapToGrid/>
        <w:spacing w:line="480" w:lineRule="exact"/>
        <w:ind w:left="-440" w:leftChars="-200" w:right="-486" w:rightChars="-221"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加入20 μL显色剂于离心管中，充分混合，用铝箔或者塑料薄膜将离心管封口。</w:t>
      </w:r>
    </w:p>
    <w:p>
      <w:pPr>
        <w:pStyle w:val="30"/>
        <w:keepNext w:val="0"/>
        <w:keepLines w:val="0"/>
        <w:pageBreakBefore w:val="0"/>
        <w:numPr>
          <w:ilvl w:val="3"/>
          <w:numId w:val="2"/>
        </w:numPr>
        <w:kinsoku/>
        <w:wordWrap/>
        <w:overflowPunct/>
        <w:topLinePunct w:val="0"/>
        <w:autoSpaceDE w:val="0"/>
        <w:autoSpaceDN w:val="0"/>
        <w:bidi w:val="0"/>
        <w:adjustRightInd/>
        <w:snapToGrid/>
        <w:spacing w:line="480" w:lineRule="exact"/>
        <w:ind w:left="-440" w:leftChars="-200" w:right="-486" w:rightChars="-221"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将离心管迅速放入60℃水浴中，加热20 min。</w:t>
      </w:r>
    </w:p>
    <w:p>
      <w:pPr>
        <w:pStyle w:val="30"/>
        <w:keepNext w:val="0"/>
        <w:keepLines w:val="0"/>
        <w:pageBreakBefore w:val="0"/>
        <w:numPr>
          <w:ilvl w:val="3"/>
          <w:numId w:val="2"/>
        </w:numPr>
        <w:kinsoku/>
        <w:wordWrap/>
        <w:overflowPunct/>
        <w:topLinePunct w:val="0"/>
        <w:autoSpaceDE w:val="0"/>
        <w:autoSpaceDN w:val="0"/>
        <w:bidi w:val="0"/>
        <w:adjustRightInd/>
        <w:snapToGrid/>
        <w:spacing w:line="480" w:lineRule="exact"/>
        <w:ind w:left="-440" w:leftChars="-200" w:right="-486" w:rightChars="-221"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取出离心管，用流动水冷却至少3 min，在室温下放置30 min。</w:t>
      </w:r>
    </w:p>
    <w:p>
      <w:pPr>
        <w:pStyle w:val="30"/>
        <w:keepNext w:val="0"/>
        <w:keepLines w:val="0"/>
        <w:pageBreakBefore w:val="0"/>
        <w:numPr>
          <w:ilvl w:val="3"/>
          <w:numId w:val="2"/>
        </w:numPr>
        <w:kinsoku/>
        <w:wordWrap/>
        <w:overflowPunct/>
        <w:topLinePunct w:val="0"/>
        <w:autoSpaceDE w:val="0"/>
        <w:autoSpaceDN w:val="0"/>
        <w:bidi w:val="0"/>
        <w:adjustRightInd/>
        <w:snapToGrid/>
        <w:spacing w:line="480" w:lineRule="exact"/>
        <w:ind w:left="-440" w:leftChars="-200" w:right="-486" w:rightChars="-221"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将上述离心管中液体转移至96孔酶标板中，利用酶标仪测定558 nm处吸光值。</w:t>
      </w:r>
    </w:p>
    <w:p>
      <w:pPr>
        <w:pStyle w:val="30"/>
        <w:keepNext w:val="0"/>
        <w:keepLines w:val="0"/>
        <w:pageBreakBefore w:val="0"/>
        <w:numPr>
          <w:ilvl w:val="3"/>
          <w:numId w:val="2"/>
        </w:numPr>
        <w:kinsoku/>
        <w:wordWrap/>
        <w:overflowPunct/>
        <w:topLinePunct w:val="0"/>
        <w:autoSpaceDE w:val="0"/>
        <w:autoSpaceDN w:val="0"/>
        <w:bidi w:val="0"/>
        <w:adjustRightInd/>
        <w:snapToGrid/>
        <w:spacing w:line="480" w:lineRule="exact"/>
        <w:ind w:left="-440" w:leftChars="-200" w:right="-486" w:rightChars="-221"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以扣除空白的标准溶液吸光度为纵坐标，以相应的标准溶液浓度为横坐标，绘制标准曲线。</w:t>
      </w:r>
    </w:p>
    <w:p>
      <w:pPr>
        <w:pStyle w:val="30"/>
        <w:keepNext w:val="0"/>
        <w:keepLines w:val="0"/>
        <w:pageBreakBefore w:val="0"/>
        <w:numPr>
          <w:ilvl w:val="3"/>
          <w:numId w:val="2"/>
        </w:numPr>
        <w:kinsoku/>
        <w:wordWrap/>
        <w:overflowPunct/>
        <w:topLinePunct w:val="0"/>
        <w:autoSpaceDE w:val="0"/>
        <w:autoSpaceDN w:val="0"/>
        <w:bidi w:val="0"/>
        <w:adjustRightInd/>
        <w:snapToGrid/>
        <w:spacing w:line="480" w:lineRule="exact"/>
        <w:ind w:left="-440" w:leftChars="-200" w:right="-486" w:rightChars="-221"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以扣除空白的样品溶液吸光度查找标准曲线，计算样品溶液中羟脯氨酸的含量。</w:t>
      </w:r>
    </w:p>
    <w:p>
      <w:pPr>
        <w:pStyle w:val="30"/>
        <w:keepNext w:val="0"/>
        <w:keepLines w:val="0"/>
        <w:pageBreakBefore w:val="0"/>
        <w:numPr>
          <w:ilvl w:val="0"/>
          <w:numId w:val="1"/>
        </w:numPr>
        <w:kinsoku/>
        <w:wordWrap/>
        <w:overflowPunct/>
        <w:topLinePunct w:val="0"/>
        <w:autoSpaceDE w:val="0"/>
        <w:autoSpaceDN w:val="0"/>
        <w:bidi w:val="0"/>
        <w:adjustRightInd/>
        <w:snapToGrid/>
        <w:spacing w:line="480" w:lineRule="exact"/>
        <w:ind w:left="-440" w:leftChars="-200" w:right="-486" w:rightChars="-221"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血浆游离羟脯氨酸的含量：血浆稀释至合适比例后，按照GB/T 9695.23规定的显色方法测定羟脯氨酸浓度，具体操作方法同上。</w:t>
      </w:r>
    </w:p>
    <w:bookmarkEnd w:id="9"/>
    <w:p>
      <w:pPr>
        <w:pStyle w:val="30"/>
        <w:keepNext w:val="0"/>
        <w:keepLines w:val="0"/>
        <w:pageBreakBefore w:val="0"/>
        <w:numPr>
          <w:ilvl w:val="0"/>
          <w:numId w:val="1"/>
        </w:numPr>
        <w:kinsoku/>
        <w:wordWrap/>
        <w:overflowPunct/>
        <w:topLinePunct w:val="0"/>
        <w:autoSpaceDE w:val="0"/>
        <w:autoSpaceDN w:val="0"/>
        <w:bidi w:val="0"/>
        <w:adjustRightInd/>
        <w:snapToGrid/>
        <w:spacing w:line="480" w:lineRule="exact"/>
        <w:ind w:left="-440" w:leftChars="-200" w:right="-486" w:rightChars="-221"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血浆</w:t>
      </w:r>
      <w:bookmarkStart w:id="10" w:name="OLE_LINK28"/>
      <w:r>
        <w:rPr>
          <w:rFonts w:hint="eastAsia" w:ascii="宋体" w:hAnsi="宋体" w:eastAsia="宋体" w:cs="宋体"/>
          <w:sz w:val="24"/>
          <w:szCs w:val="24"/>
        </w:rPr>
        <w:t>肽结合羟脯氨酸</w:t>
      </w:r>
      <w:bookmarkEnd w:id="10"/>
      <w:r>
        <w:rPr>
          <w:rFonts w:hint="eastAsia" w:ascii="宋体" w:hAnsi="宋体" w:eastAsia="宋体" w:cs="宋体"/>
          <w:sz w:val="24"/>
          <w:szCs w:val="24"/>
        </w:rPr>
        <w:t>的含量：血浆总羟脯氨酸与游离羟脯氨酸</w:t>
      </w:r>
      <w:bookmarkStart w:id="11" w:name="OLE_LINK27"/>
      <w:r>
        <w:rPr>
          <w:rFonts w:hint="eastAsia" w:ascii="宋体" w:hAnsi="宋体" w:eastAsia="宋体" w:cs="宋体"/>
          <w:sz w:val="24"/>
          <w:szCs w:val="24"/>
        </w:rPr>
        <w:t>的含量之差</w:t>
      </w:r>
      <w:bookmarkEnd w:id="11"/>
      <w:r>
        <w:rPr>
          <w:rFonts w:hint="eastAsia" w:ascii="宋体" w:hAnsi="宋体" w:eastAsia="宋体" w:cs="宋体"/>
          <w:sz w:val="24"/>
          <w:szCs w:val="24"/>
        </w:rPr>
        <w:t>。</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2.3.5　药代动力学</w:t>
      </w:r>
    </w:p>
    <w:p>
      <w:pPr>
        <w:pStyle w:val="30"/>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20"/>
        <w:textAlignment w:val="auto"/>
        <w:rPr>
          <w:rFonts w:hint="eastAsia" w:ascii="宋体" w:hAnsi="宋体" w:eastAsia="宋体" w:cs="宋体"/>
          <w:sz w:val="24"/>
          <w:szCs w:val="24"/>
        </w:rPr>
      </w:pPr>
      <w:r>
        <w:rPr>
          <w:rFonts w:hint="eastAsia" w:ascii="宋体" w:hAnsi="宋体" w:eastAsia="宋体" w:cs="宋体"/>
          <w:sz w:val="24"/>
          <w:szCs w:val="24"/>
        </w:rPr>
        <w:t>以采血时间为横坐标，以血浆肽结合羟脯氨酸含量为纵坐标，绘制药代动力学曲线，操作步骤示例如下：</w:t>
      </w:r>
    </w:p>
    <w:p>
      <w:pPr>
        <w:pStyle w:val="30"/>
        <w:keepNext w:val="0"/>
        <w:keepLines w:val="0"/>
        <w:pageBreakBefore w:val="0"/>
        <w:numPr>
          <w:ilvl w:val="1"/>
          <w:numId w:val="3"/>
        </w:numPr>
        <w:kinsoku/>
        <w:wordWrap/>
        <w:overflowPunct/>
        <w:topLinePunct w:val="0"/>
        <w:autoSpaceDE w:val="0"/>
        <w:autoSpaceDN w:val="0"/>
        <w:bidi w:val="0"/>
        <w:adjustRightInd/>
        <w:snapToGrid/>
        <w:spacing w:line="480" w:lineRule="exact"/>
        <w:ind w:left="-440" w:leftChars="-200" w:right="-486" w:rightChars="-221" w:firstLine="420"/>
        <w:textAlignment w:val="auto"/>
        <w:rPr>
          <w:rFonts w:hint="eastAsia" w:ascii="宋体" w:hAnsi="宋体" w:eastAsia="宋体" w:cs="宋体"/>
          <w:sz w:val="24"/>
          <w:szCs w:val="24"/>
        </w:rPr>
      </w:pPr>
      <w:r>
        <w:rPr>
          <w:rFonts w:hint="eastAsia" w:ascii="宋体" w:hAnsi="宋体" w:eastAsia="宋体" w:cs="宋体"/>
          <w:sz w:val="24"/>
          <w:szCs w:val="24"/>
        </w:rPr>
        <w:t>利用PKSolver药动学药效学数据处理软件，选择【非房室模型分析-非脉管给药】，打开模型运算对话框。</w:t>
      </w:r>
    </w:p>
    <w:p>
      <w:pPr>
        <w:pStyle w:val="30"/>
        <w:keepNext w:val="0"/>
        <w:keepLines w:val="0"/>
        <w:pageBreakBefore w:val="0"/>
        <w:numPr>
          <w:ilvl w:val="1"/>
          <w:numId w:val="3"/>
        </w:numPr>
        <w:kinsoku/>
        <w:wordWrap/>
        <w:overflowPunct/>
        <w:topLinePunct w:val="0"/>
        <w:autoSpaceDE w:val="0"/>
        <w:autoSpaceDN w:val="0"/>
        <w:bidi w:val="0"/>
        <w:adjustRightInd/>
        <w:snapToGrid/>
        <w:spacing w:line="480" w:lineRule="exact"/>
        <w:ind w:left="-440" w:leftChars="-200" w:right="-486" w:rightChars="-221" w:firstLine="420"/>
        <w:textAlignment w:val="auto"/>
        <w:rPr>
          <w:rFonts w:hint="eastAsia" w:ascii="宋体" w:hAnsi="宋体" w:eastAsia="宋体" w:cs="宋体"/>
          <w:sz w:val="24"/>
          <w:szCs w:val="24"/>
        </w:rPr>
      </w:pPr>
      <w:r>
        <w:rPr>
          <w:rFonts w:hint="eastAsia" w:ascii="宋体" w:hAnsi="宋体" w:eastAsia="宋体" w:cs="宋体"/>
          <w:sz w:val="24"/>
          <w:szCs w:val="24"/>
        </w:rPr>
        <w:t>点击【时间】输入按钮，在Excel表格中拖动鼠标选择相应数据，以输入时间数据。</w:t>
      </w:r>
    </w:p>
    <w:p>
      <w:pPr>
        <w:pStyle w:val="30"/>
        <w:keepNext w:val="0"/>
        <w:keepLines w:val="0"/>
        <w:pageBreakBefore w:val="0"/>
        <w:numPr>
          <w:ilvl w:val="1"/>
          <w:numId w:val="3"/>
        </w:numPr>
        <w:kinsoku/>
        <w:wordWrap/>
        <w:overflowPunct/>
        <w:topLinePunct w:val="0"/>
        <w:autoSpaceDE w:val="0"/>
        <w:autoSpaceDN w:val="0"/>
        <w:bidi w:val="0"/>
        <w:adjustRightInd/>
        <w:snapToGrid/>
        <w:spacing w:line="480" w:lineRule="exact"/>
        <w:ind w:left="-440" w:leftChars="-200" w:right="-486" w:rightChars="-221" w:firstLine="420"/>
        <w:textAlignment w:val="auto"/>
        <w:rPr>
          <w:rFonts w:hint="eastAsia" w:ascii="宋体" w:hAnsi="宋体" w:eastAsia="宋体" w:cs="宋体"/>
          <w:sz w:val="24"/>
          <w:szCs w:val="24"/>
        </w:rPr>
      </w:pPr>
      <w:r>
        <w:rPr>
          <w:rFonts w:hint="eastAsia" w:ascii="宋体" w:hAnsi="宋体" w:eastAsia="宋体" w:cs="宋体"/>
          <w:sz w:val="24"/>
          <w:szCs w:val="24"/>
        </w:rPr>
        <w:t>点击【浓度】输入按钮，在Excel表格中拖动鼠标选择相应数据，以输入浓度数据。</w:t>
      </w:r>
    </w:p>
    <w:p>
      <w:pPr>
        <w:pStyle w:val="30"/>
        <w:keepNext w:val="0"/>
        <w:keepLines w:val="0"/>
        <w:pageBreakBefore w:val="0"/>
        <w:numPr>
          <w:ilvl w:val="1"/>
          <w:numId w:val="3"/>
        </w:numPr>
        <w:kinsoku/>
        <w:wordWrap/>
        <w:overflowPunct/>
        <w:topLinePunct w:val="0"/>
        <w:autoSpaceDE w:val="0"/>
        <w:autoSpaceDN w:val="0"/>
        <w:bidi w:val="0"/>
        <w:adjustRightInd/>
        <w:snapToGrid/>
        <w:spacing w:line="480" w:lineRule="exact"/>
        <w:ind w:left="-440" w:leftChars="-200" w:right="-486" w:rightChars="-221" w:firstLine="420"/>
        <w:textAlignment w:val="auto"/>
        <w:rPr>
          <w:rFonts w:hint="eastAsia" w:ascii="宋体" w:hAnsi="宋体" w:eastAsia="宋体" w:cs="宋体"/>
          <w:sz w:val="24"/>
          <w:szCs w:val="24"/>
        </w:rPr>
      </w:pPr>
      <w:r>
        <w:rPr>
          <w:rFonts w:hint="eastAsia" w:ascii="宋体" w:hAnsi="宋体" w:eastAsia="宋体" w:cs="宋体"/>
          <w:sz w:val="24"/>
          <w:szCs w:val="24"/>
        </w:rPr>
        <w:t>选择设置“时间单位”和“浓度单位”。</w:t>
      </w:r>
    </w:p>
    <w:p>
      <w:pPr>
        <w:pStyle w:val="30"/>
        <w:keepNext w:val="0"/>
        <w:keepLines w:val="0"/>
        <w:pageBreakBefore w:val="0"/>
        <w:numPr>
          <w:ilvl w:val="1"/>
          <w:numId w:val="3"/>
        </w:numPr>
        <w:kinsoku/>
        <w:wordWrap/>
        <w:overflowPunct/>
        <w:topLinePunct w:val="0"/>
        <w:autoSpaceDE w:val="0"/>
        <w:autoSpaceDN w:val="0"/>
        <w:bidi w:val="0"/>
        <w:adjustRightInd/>
        <w:snapToGrid/>
        <w:spacing w:line="480" w:lineRule="exact"/>
        <w:ind w:left="-440" w:leftChars="-200" w:right="-486" w:rightChars="-221" w:firstLine="420"/>
        <w:textAlignment w:val="auto"/>
        <w:rPr>
          <w:rFonts w:hint="eastAsia" w:ascii="宋体" w:hAnsi="宋体" w:eastAsia="宋体" w:cs="宋体"/>
          <w:sz w:val="24"/>
          <w:szCs w:val="24"/>
        </w:rPr>
      </w:pPr>
      <w:r>
        <w:rPr>
          <w:rFonts w:hint="eastAsia" w:ascii="宋体" w:hAnsi="宋体" w:eastAsia="宋体" w:cs="宋体"/>
          <w:sz w:val="24"/>
          <w:szCs w:val="24"/>
        </w:rPr>
        <w:t>输入“给药剂量”，设置“给药剂量”的单位。</w:t>
      </w:r>
    </w:p>
    <w:p>
      <w:pPr>
        <w:pStyle w:val="30"/>
        <w:keepNext w:val="0"/>
        <w:keepLines w:val="0"/>
        <w:pageBreakBefore w:val="0"/>
        <w:numPr>
          <w:ilvl w:val="1"/>
          <w:numId w:val="3"/>
        </w:numPr>
        <w:kinsoku/>
        <w:wordWrap/>
        <w:overflowPunct/>
        <w:topLinePunct w:val="0"/>
        <w:autoSpaceDE w:val="0"/>
        <w:autoSpaceDN w:val="0"/>
        <w:bidi w:val="0"/>
        <w:adjustRightInd/>
        <w:snapToGrid/>
        <w:spacing w:line="480" w:lineRule="exact"/>
        <w:ind w:left="-440" w:leftChars="-200" w:right="-486" w:rightChars="-221" w:firstLine="420"/>
        <w:textAlignment w:val="auto"/>
        <w:rPr>
          <w:rFonts w:hint="eastAsia" w:ascii="宋体" w:hAnsi="宋体" w:eastAsia="宋体" w:cs="宋体"/>
          <w:sz w:val="24"/>
          <w:szCs w:val="24"/>
        </w:rPr>
      </w:pPr>
      <w:r>
        <w:rPr>
          <w:rFonts w:hint="eastAsia" w:ascii="宋体" w:hAnsi="宋体" w:eastAsia="宋体" w:cs="宋体"/>
          <w:sz w:val="24"/>
          <w:szCs w:val="24"/>
        </w:rPr>
        <w:t>点击【运行】，完成运算，计算所得</w:t>
      </w:r>
      <w:bookmarkStart w:id="12" w:name="OLE_LINK25"/>
      <w:r>
        <w:rPr>
          <w:rFonts w:hint="eastAsia" w:ascii="宋体" w:hAnsi="宋体" w:eastAsia="宋体" w:cs="宋体"/>
          <w:sz w:val="24"/>
          <w:szCs w:val="24"/>
        </w:rPr>
        <w:t>血药浓度-时间曲线下面积（AUC）</w:t>
      </w:r>
      <w:bookmarkEnd w:id="12"/>
      <w:r>
        <w:rPr>
          <w:rFonts w:hint="eastAsia" w:ascii="宋体" w:hAnsi="宋体" w:eastAsia="宋体" w:cs="宋体"/>
          <w:sz w:val="24"/>
          <w:szCs w:val="24"/>
        </w:rPr>
        <w:t>。</w:t>
      </w:r>
    </w:p>
    <w:p>
      <w:pPr>
        <w:pStyle w:val="30"/>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20"/>
        <w:textAlignment w:val="auto"/>
        <w:rPr>
          <w:rFonts w:hint="eastAsia" w:ascii="宋体" w:hAnsi="宋体" w:eastAsia="宋体" w:cs="宋体"/>
          <w:sz w:val="24"/>
          <w:szCs w:val="24"/>
        </w:rPr>
      </w:pPr>
      <w:r>
        <w:rPr>
          <w:rFonts w:hint="eastAsia" w:ascii="宋体" w:hAnsi="宋体" w:eastAsia="宋体" w:cs="宋体"/>
          <w:sz w:val="24"/>
          <w:szCs w:val="24"/>
        </w:rPr>
        <w:t>各组的曲线下增量面积（iAUC），即可反映含羟脯氨酸二/三肽入血的程度和速度，按照式（1）、（2）和（3）计算：</w:t>
      </w:r>
    </w:p>
    <w:p>
      <w:pPr>
        <w:pStyle w:val="30"/>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20"/>
        <w:textAlignment w:val="auto"/>
        <w:rPr>
          <w:rFonts w:hint="eastAsia" w:ascii="宋体" w:hAnsi="宋体" w:eastAsia="宋体" w:cs="宋体"/>
          <w:sz w:val="24"/>
          <w:szCs w:val="24"/>
        </w:rPr>
      </w:pPr>
      <w:bookmarkStart w:id="13" w:name="_Hlk121175946"/>
      <w:r>
        <w:rPr>
          <w:rFonts w:hint="eastAsia" w:ascii="宋体" w:hAnsi="宋体" w:eastAsia="宋体" w:cs="宋体"/>
          <w:sz w:val="24"/>
          <w:szCs w:val="24"/>
        </w:rPr>
        <w:t>iAUC</w:t>
      </w:r>
      <w:r>
        <w:rPr>
          <w:rFonts w:hint="eastAsia" w:ascii="宋体" w:hAnsi="宋体" w:eastAsia="宋体" w:cs="宋体"/>
          <w:sz w:val="24"/>
          <w:szCs w:val="24"/>
          <w:vertAlign w:val="subscript"/>
        </w:rPr>
        <w:t>（Gly-Pro-Hyp灌胃）</w:t>
      </w:r>
      <w:r>
        <w:rPr>
          <w:rFonts w:hint="eastAsia" w:ascii="宋体" w:hAnsi="宋体" w:eastAsia="宋体" w:cs="宋体"/>
          <w:sz w:val="24"/>
          <w:szCs w:val="24"/>
        </w:rPr>
        <w:t>= AUC</w:t>
      </w:r>
      <w:r>
        <w:rPr>
          <w:rFonts w:hint="eastAsia" w:ascii="宋体" w:hAnsi="宋体" w:eastAsia="宋体" w:cs="宋体"/>
          <w:sz w:val="24"/>
          <w:szCs w:val="24"/>
          <w:vertAlign w:val="subscript"/>
        </w:rPr>
        <w:t>（Gly-Pro-Hyp灌胃）</w:t>
      </w:r>
      <w:r>
        <w:rPr>
          <w:rFonts w:hint="eastAsia" w:ascii="宋体" w:hAnsi="宋体" w:eastAsia="宋体" w:cs="宋体"/>
          <w:sz w:val="24"/>
          <w:szCs w:val="24"/>
        </w:rPr>
        <w:t>－ AUC</w:t>
      </w:r>
      <w:r>
        <w:rPr>
          <w:rFonts w:hint="eastAsia" w:ascii="宋体" w:hAnsi="宋体" w:eastAsia="宋体" w:cs="宋体"/>
          <w:sz w:val="24"/>
          <w:szCs w:val="24"/>
          <w:vertAlign w:val="subscript"/>
        </w:rPr>
        <w:t>（空白对照）</w:t>
      </w:r>
      <w:r>
        <w:rPr>
          <w:rFonts w:hint="eastAsia" w:ascii="宋体" w:hAnsi="宋体" w:eastAsia="宋体" w:cs="宋体"/>
          <w:sz w:val="24"/>
          <w:szCs w:val="24"/>
        </w:rPr>
        <w:t>……………（1）</w:t>
      </w:r>
    </w:p>
    <w:p>
      <w:pPr>
        <w:pStyle w:val="30"/>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20"/>
        <w:textAlignment w:val="auto"/>
        <w:rPr>
          <w:rFonts w:hint="eastAsia" w:ascii="宋体" w:hAnsi="宋体" w:eastAsia="宋体" w:cs="宋体"/>
          <w:sz w:val="24"/>
          <w:szCs w:val="24"/>
        </w:rPr>
      </w:pPr>
      <w:r>
        <w:rPr>
          <w:rFonts w:hint="eastAsia" w:ascii="宋体" w:hAnsi="宋体" w:eastAsia="宋体" w:cs="宋体"/>
          <w:sz w:val="24"/>
          <w:szCs w:val="24"/>
        </w:rPr>
        <w:t>iAUC</w:t>
      </w:r>
      <w:r>
        <w:rPr>
          <w:rFonts w:hint="eastAsia" w:ascii="宋体" w:hAnsi="宋体" w:eastAsia="宋体" w:cs="宋体"/>
          <w:sz w:val="24"/>
          <w:szCs w:val="24"/>
          <w:vertAlign w:val="subscript"/>
        </w:rPr>
        <w:t>（Gly-Pro-Hyp注射）</w:t>
      </w:r>
      <w:r>
        <w:rPr>
          <w:rFonts w:hint="eastAsia" w:ascii="宋体" w:hAnsi="宋体" w:eastAsia="宋体" w:cs="宋体"/>
          <w:sz w:val="24"/>
          <w:szCs w:val="24"/>
        </w:rPr>
        <w:t>= AUC</w:t>
      </w:r>
      <w:r>
        <w:rPr>
          <w:rFonts w:hint="eastAsia" w:ascii="宋体" w:hAnsi="宋体" w:eastAsia="宋体" w:cs="宋体"/>
          <w:sz w:val="24"/>
          <w:szCs w:val="24"/>
          <w:vertAlign w:val="subscript"/>
        </w:rPr>
        <w:t>（Gly-Pro-Hyp注射）</w:t>
      </w:r>
      <w:r>
        <w:rPr>
          <w:rFonts w:hint="eastAsia" w:ascii="宋体" w:hAnsi="宋体" w:eastAsia="宋体" w:cs="宋体"/>
          <w:sz w:val="24"/>
          <w:szCs w:val="24"/>
        </w:rPr>
        <w:t>－ AUC</w:t>
      </w:r>
      <w:r>
        <w:rPr>
          <w:rFonts w:hint="eastAsia" w:ascii="宋体" w:hAnsi="宋体" w:eastAsia="宋体" w:cs="宋体"/>
          <w:sz w:val="24"/>
          <w:szCs w:val="24"/>
          <w:vertAlign w:val="subscript"/>
        </w:rPr>
        <w:t>（空白对照）</w:t>
      </w:r>
      <w:r>
        <w:rPr>
          <w:rFonts w:hint="eastAsia" w:ascii="宋体" w:hAnsi="宋体" w:eastAsia="宋体" w:cs="宋体"/>
          <w:sz w:val="24"/>
          <w:szCs w:val="24"/>
        </w:rPr>
        <w:t>……………（2）</w:t>
      </w:r>
    </w:p>
    <w:p>
      <w:pPr>
        <w:pStyle w:val="30"/>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20"/>
        <w:textAlignment w:val="auto"/>
        <w:rPr>
          <w:rFonts w:hint="eastAsia" w:ascii="宋体" w:hAnsi="宋体" w:eastAsia="宋体" w:cs="宋体"/>
          <w:sz w:val="24"/>
          <w:szCs w:val="24"/>
        </w:rPr>
      </w:pPr>
      <w:r>
        <w:rPr>
          <w:rFonts w:hint="eastAsia" w:ascii="宋体" w:hAnsi="宋体" w:eastAsia="宋体" w:cs="宋体"/>
          <w:sz w:val="24"/>
          <w:szCs w:val="24"/>
        </w:rPr>
        <w:t>iAUC</w:t>
      </w:r>
      <w:r>
        <w:rPr>
          <w:rFonts w:hint="eastAsia" w:ascii="宋体" w:hAnsi="宋体" w:eastAsia="宋体" w:cs="宋体"/>
          <w:sz w:val="24"/>
          <w:szCs w:val="24"/>
          <w:vertAlign w:val="subscript"/>
        </w:rPr>
        <w:t>（受试样品）</w:t>
      </w:r>
      <w:r>
        <w:rPr>
          <w:rFonts w:hint="eastAsia" w:ascii="宋体" w:hAnsi="宋体" w:eastAsia="宋体" w:cs="宋体"/>
          <w:sz w:val="24"/>
          <w:szCs w:val="24"/>
        </w:rPr>
        <w:t>= AUC</w:t>
      </w:r>
      <w:r>
        <w:rPr>
          <w:rFonts w:hint="eastAsia" w:ascii="宋体" w:hAnsi="宋体" w:eastAsia="宋体" w:cs="宋体"/>
          <w:sz w:val="24"/>
          <w:szCs w:val="24"/>
          <w:vertAlign w:val="subscript"/>
        </w:rPr>
        <w:t>（受试样品）</w:t>
      </w:r>
      <w:r>
        <w:rPr>
          <w:rFonts w:hint="eastAsia" w:ascii="宋体" w:hAnsi="宋体" w:eastAsia="宋体" w:cs="宋体"/>
          <w:sz w:val="24"/>
          <w:szCs w:val="24"/>
        </w:rPr>
        <w:t>－ AUC</w:t>
      </w:r>
      <w:r>
        <w:rPr>
          <w:rFonts w:hint="eastAsia" w:ascii="宋体" w:hAnsi="宋体" w:eastAsia="宋体" w:cs="宋体"/>
          <w:sz w:val="24"/>
          <w:szCs w:val="24"/>
          <w:vertAlign w:val="subscript"/>
        </w:rPr>
        <w:t>（空白对照）</w:t>
      </w:r>
      <w:r>
        <w:rPr>
          <w:rFonts w:hint="eastAsia" w:ascii="宋体" w:hAnsi="宋体" w:eastAsia="宋体" w:cs="宋体"/>
          <w:sz w:val="24"/>
          <w:szCs w:val="24"/>
        </w:rPr>
        <w:t>…………………………（3）</w:t>
      </w:r>
      <w:bookmarkEnd w:id="13"/>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2.3.6　生物利用度计算</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受试样品的相对生物利用度（</w:t>
      </w:r>
      <w:r>
        <w:rPr>
          <w:rFonts w:hint="eastAsia" w:ascii="宋体" w:hAnsi="宋体" w:eastAsia="宋体" w:cs="宋体"/>
          <w:i/>
          <w:iCs/>
          <w:sz w:val="24"/>
          <w:szCs w:val="24"/>
          <w:lang w:eastAsia="zh-CN"/>
        </w:rPr>
        <w:t>F</w:t>
      </w:r>
      <w:r>
        <w:rPr>
          <w:rFonts w:hint="eastAsia" w:ascii="宋体" w:hAnsi="宋体" w:eastAsia="宋体" w:cs="宋体"/>
          <w:sz w:val="24"/>
          <w:szCs w:val="24"/>
          <w:vertAlign w:val="subscript"/>
          <w:lang w:eastAsia="zh-CN"/>
        </w:rPr>
        <w:t>r</w:t>
      </w:r>
      <w:r>
        <w:rPr>
          <w:rFonts w:hint="eastAsia" w:ascii="宋体" w:hAnsi="宋体" w:eastAsia="宋体" w:cs="宋体"/>
          <w:sz w:val="24"/>
          <w:szCs w:val="24"/>
          <w:lang w:eastAsia="zh-CN"/>
        </w:rPr>
        <w:t>），按照式（4）计算：</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sz w:val="24"/>
          <w:szCs w:val="24"/>
          <w:lang w:eastAsia="zh-CN"/>
        </w:rPr>
      </w:pPr>
      <w:r>
        <w:rPr>
          <w:rFonts w:hint="eastAsia" w:ascii="宋体" w:hAnsi="宋体" w:eastAsia="宋体" w:cs="宋体"/>
          <w:i/>
          <w:iCs/>
          <w:sz w:val="24"/>
          <w:szCs w:val="24"/>
          <w:lang w:eastAsia="zh-CN"/>
        </w:rPr>
        <w:t>F</w:t>
      </w:r>
      <w:r>
        <w:rPr>
          <w:rFonts w:hint="eastAsia" w:ascii="宋体" w:hAnsi="宋体" w:eastAsia="宋体" w:cs="宋体"/>
          <w:sz w:val="24"/>
          <w:szCs w:val="24"/>
          <w:vertAlign w:val="subscript"/>
          <w:lang w:eastAsia="zh-CN"/>
        </w:rPr>
        <w:t>r</w:t>
      </w:r>
      <w:r>
        <w:rPr>
          <w:rFonts w:hint="eastAsia" w:ascii="宋体" w:hAnsi="宋体" w:eastAsia="宋体" w:cs="宋体"/>
          <w:sz w:val="24"/>
          <w:szCs w:val="24"/>
          <w:lang w:eastAsia="zh-CN"/>
        </w:rPr>
        <w:t>= iAUC</w:t>
      </w:r>
      <w:r>
        <w:rPr>
          <w:rFonts w:hint="eastAsia" w:ascii="宋体" w:hAnsi="宋体" w:eastAsia="宋体" w:cs="宋体"/>
          <w:sz w:val="24"/>
          <w:szCs w:val="24"/>
          <w:vertAlign w:val="subscript"/>
          <w:lang w:eastAsia="zh-CN"/>
        </w:rPr>
        <w:t>（受试样品）</w:t>
      </w:r>
      <w:r>
        <w:rPr>
          <w:rFonts w:hint="eastAsia" w:ascii="宋体" w:hAnsi="宋体" w:eastAsia="宋体" w:cs="宋体"/>
          <w:sz w:val="24"/>
          <w:szCs w:val="24"/>
          <w:lang w:eastAsia="zh-CN"/>
        </w:rPr>
        <w:t>/iAUC</w:t>
      </w:r>
      <w:r>
        <w:rPr>
          <w:rFonts w:hint="eastAsia" w:ascii="宋体" w:hAnsi="宋体" w:eastAsia="宋体" w:cs="宋体"/>
          <w:sz w:val="24"/>
          <w:szCs w:val="24"/>
          <w:vertAlign w:val="subscript"/>
          <w:lang w:eastAsia="zh-CN"/>
        </w:rPr>
        <w:t>（Gly-Pro-Hyp灌胃）</w:t>
      </w:r>
      <w:r>
        <w:rPr>
          <w:rFonts w:hint="eastAsia" w:ascii="宋体" w:hAnsi="宋体" w:eastAsia="宋体" w:cs="宋体"/>
          <w:sz w:val="24"/>
          <w:szCs w:val="24"/>
          <w:lang w:eastAsia="zh-CN"/>
        </w:rPr>
        <w:t>×100%………………………（4）</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受试样品的绝对生物利用度（</w:t>
      </w:r>
      <w:r>
        <w:rPr>
          <w:rFonts w:hint="eastAsia" w:ascii="宋体" w:hAnsi="宋体" w:eastAsia="宋体" w:cs="宋体"/>
          <w:i/>
          <w:iCs/>
          <w:sz w:val="24"/>
          <w:szCs w:val="24"/>
          <w:lang w:eastAsia="zh-CN"/>
        </w:rPr>
        <w:t>F</w:t>
      </w:r>
      <w:r>
        <w:rPr>
          <w:rFonts w:hint="eastAsia" w:ascii="宋体" w:hAnsi="宋体" w:eastAsia="宋体" w:cs="宋体"/>
          <w:sz w:val="24"/>
          <w:szCs w:val="24"/>
          <w:vertAlign w:val="subscript"/>
          <w:lang w:eastAsia="zh-CN"/>
        </w:rPr>
        <w:t>s</w:t>
      </w:r>
      <w:r>
        <w:rPr>
          <w:rFonts w:hint="eastAsia" w:ascii="宋体" w:hAnsi="宋体" w:eastAsia="宋体" w:cs="宋体"/>
          <w:sz w:val="24"/>
          <w:szCs w:val="24"/>
          <w:lang w:eastAsia="zh-CN"/>
        </w:rPr>
        <w:t>），按照式（5）计算：</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sz w:val="24"/>
          <w:szCs w:val="24"/>
          <w:lang w:eastAsia="zh-CN"/>
        </w:rPr>
      </w:pPr>
      <w:r>
        <w:rPr>
          <w:rFonts w:hint="eastAsia" w:ascii="宋体" w:hAnsi="宋体" w:eastAsia="宋体" w:cs="宋体"/>
          <w:i/>
          <w:iCs/>
          <w:sz w:val="24"/>
          <w:szCs w:val="24"/>
          <w:lang w:eastAsia="zh-CN"/>
        </w:rPr>
        <w:t>F</w:t>
      </w:r>
      <w:r>
        <w:rPr>
          <w:rFonts w:hint="eastAsia" w:ascii="宋体" w:hAnsi="宋体" w:eastAsia="宋体" w:cs="宋体"/>
          <w:sz w:val="24"/>
          <w:szCs w:val="24"/>
          <w:vertAlign w:val="subscript"/>
          <w:lang w:eastAsia="zh-CN"/>
        </w:rPr>
        <w:t>s</w:t>
      </w:r>
      <w:r>
        <w:rPr>
          <w:rFonts w:hint="eastAsia" w:ascii="宋体" w:hAnsi="宋体" w:eastAsia="宋体" w:cs="宋体"/>
          <w:sz w:val="24"/>
          <w:szCs w:val="24"/>
          <w:lang w:eastAsia="zh-CN"/>
        </w:rPr>
        <w:t>= iAUC</w:t>
      </w:r>
      <w:r>
        <w:rPr>
          <w:rFonts w:hint="eastAsia" w:ascii="宋体" w:hAnsi="宋体" w:eastAsia="宋体" w:cs="宋体"/>
          <w:sz w:val="24"/>
          <w:szCs w:val="24"/>
          <w:vertAlign w:val="subscript"/>
          <w:lang w:eastAsia="zh-CN"/>
        </w:rPr>
        <w:t>（受试样品）</w:t>
      </w:r>
      <w:r>
        <w:rPr>
          <w:rFonts w:hint="eastAsia" w:ascii="宋体" w:hAnsi="宋体" w:eastAsia="宋体" w:cs="宋体"/>
          <w:sz w:val="24"/>
          <w:szCs w:val="24"/>
          <w:lang w:eastAsia="zh-CN"/>
        </w:rPr>
        <w:t>/iAUC</w:t>
      </w:r>
      <w:r>
        <w:rPr>
          <w:rFonts w:hint="eastAsia" w:ascii="宋体" w:hAnsi="宋体" w:eastAsia="宋体" w:cs="宋体"/>
          <w:sz w:val="24"/>
          <w:szCs w:val="24"/>
          <w:vertAlign w:val="subscript"/>
          <w:lang w:eastAsia="zh-CN"/>
        </w:rPr>
        <w:t>（Gly-Pro-Hyp注射）</w:t>
      </w:r>
      <w:r>
        <w:rPr>
          <w:rFonts w:hint="eastAsia" w:ascii="宋体" w:hAnsi="宋体" w:eastAsia="宋体" w:cs="宋体"/>
          <w:sz w:val="24"/>
          <w:szCs w:val="24"/>
          <w:lang w:eastAsia="zh-CN"/>
        </w:rPr>
        <w:t>×100%………………………（5）</w:t>
      </w:r>
    </w:p>
    <w:p>
      <w:pPr>
        <w:keepNext w:val="0"/>
        <w:keepLines w:val="0"/>
        <w:pageBreakBefore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3、社会意义和经济性</w:t>
      </w:r>
    </w:p>
    <w:p>
      <w:pPr>
        <w:pStyle w:val="30"/>
        <w:keepNext w:val="0"/>
        <w:keepLines w:val="0"/>
        <w:pageBreakBefore w:val="0"/>
        <w:kinsoku/>
        <w:wordWrap/>
        <w:overflowPunct/>
        <w:topLinePunct w:val="0"/>
        <w:autoSpaceDE w:val="0"/>
        <w:autoSpaceDN w:val="0"/>
        <w:bidi w:val="0"/>
        <w:adjustRightInd/>
        <w:snapToGrid/>
        <w:spacing w:line="480" w:lineRule="exact"/>
        <w:ind w:left="-440" w:leftChars="-200" w:right="-486" w:rightChars="-221" w:firstLine="420"/>
        <w:textAlignment w:val="auto"/>
        <w:rPr>
          <w:rFonts w:hint="eastAsia" w:ascii="宋体" w:hAnsi="宋体" w:eastAsia="宋体" w:cs="宋体"/>
          <w:sz w:val="24"/>
          <w:szCs w:val="24"/>
        </w:rPr>
      </w:pPr>
      <w:r>
        <w:rPr>
          <w:rFonts w:hint="eastAsia" w:ascii="宋体" w:hAnsi="宋体" w:eastAsia="宋体" w:cs="宋体"/>
          <w:sz w:val="24"/>
          <w:szCs w:val="24"/>
        </w:rPr>
        <w:t>推进健康中国建设，提高人民健康水平，是我国重要的战略规划和目标。口服胶原蛋白已被大量研究证实具有保护皮肤、关节、骨骼和心血管健康的活性，近年来在大健康市场上颇受青睐，市场渗透率正在逐年稳步提升。口服胶原蛋白的市场品类繁多，消费者目前对其功能活性的差异缺少科学的认识和评价标准，故本文件方法有利于对口服胶原蛋白产品实现科学分级，对于规范胶原蛋白消费市场有重要的意义。口服胶原蛋白产业是畜禽水产品加工副产物综合利用的重要出口，本文件有助于推动畜禽水产品加工副产物的高值化利用，对于提振我国农业经济具有重要意义。</w:t>
      </w:r>
    </w:p>
    <w:p>
      <w:pPr>
        <w:pStyle w:val="4"/>
        <w:kinsoku w:val="0"/>
        <w:overflowPunct w:val="0"/>
        <w:spacing w:line="480" w:lineRule="exact"/>
        <w:ind w:left="-440" w:leftChars="-200" w:right="-486" w:rightChars="-221" w:firstLine="560" w:firstLineChars="200"/>
        <w:jc w:val="both"/>
        <w:rPr>
          <w:b/>
          <w:bCs/>
          <w:sz w:val="28"/>
          <w:szCs w:val="28"/>
          <w:lang w:eastAsia="zh-CN"/>
        </w:rPr>
      </w:pPr>
      <w:r>
        <w:rPr>
          <w:rFonts w:hint="eastAsia"/>
          <w:b/>
          <w:bCs/>
          <w:sz w:val="28"/>
          <w:szCs w:val="28"/>
          <w:lang w:eastAsia="zh-CN"/>
        </w:rPr>
        <w:t>三、涉及专利的有关说明</w:t>
      </w:r>
    </w:p>
    <w:p>
      <w:pPr>
        <w:keepNext w:val="0"/>
        <w:keepLines w:val="0"/>
        <w:pageBreakBefore w:val="0"/>
        <w:widowControl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eastAsia="宋体"/>
          <w:sz w:val="24"/>
          <w:szCs w:val="24"/>
          <w:lang w:eastAsia="zh-CN"/>
        </w:rPr>
      </w:pPr>
      <w:r>
        <w:rPr>
          <w:rFonts w:hint="eastAsia" w:eastAsia="宋体"/>
          <w:sz w:val="24"/>
          <w:szCs w:val="24"/>
          <w:lang w:eastAsia="zh-CN"/>
        </w:rPr>
        <w:t>本文件不涉及专利及知识产权问题。</w:t>
      </w:r>
    </w:p>
    <w:p>
      <w:pPr>
        <w:pStyle w:val="4"/>
        <w:kinsoku w:val="0"/>
        <w:overflowPunct w:val="0"/>
        <w:spacing w:line="480" w:lineRule="exact"/>
        <w:ind w:left="-440" w:leftChars="-200" w:right="-486" w:rightChars="-221" w:firstLine="560" w:firstLineChars="200"/>
        <w:jc w:val="both"/>
        <w:rPr>
          <w:b/>
          <w:bCs/>
          <w:sz w:val="28"/>
          <w:szCs w:val="28"/>
          <w:lang w:eastAsia="zh-CN"/>
        </w:rPr>
      </w:pPr>
      <w:r>
        <w:rPr>
          <w:rFonts w:hint="eastAsia"/>
          <w:b/>
          <w:bCs/>
          <w:sz w:val="28"/>
          <w:szCs w:val="28"/>
          <w:lang w:eastAsia="zh-CN"/>
        </w:rPr>
        <w:t>四、采用国际标准和国外先进标准情况，与国际、国内同类标准技术内容的对比情况</w:t>
      </w:r>
    </w:p>
    <w:p>
      <w:pPr>
        <w:keepNext w:val="0"/>
        <w:keepLines w:val="0"/>
        <w:pageBreakBefore w:val="0"/>
        <w:widowControl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eastAsia="宋体"/>
          <w:sz w:val="24"/>
          <w:szCs w:val="24"/>
          <w:lang w:eastAsia="zh-CN"/>
        </w:rPr>
      </w:pPr>
      <w:r>
        <w:rPr>
          <w:rFonts w:hint="eastAsia" w:eastAsia="宋体"/>
          <w:sz w:val="24"/>
          <w:szCs w:val="24"/>
          <w:lang w:eastAsia="zh-CN"/>
        </w:rPr>
        <w:t>本文件中羟脯氨酸含量的测定方法与国家标准GB/T 9695.23和国际标准ISO 3496规定的酸解和显色方法完全一致。</w:t>
      </w:r>
    </w:p>
    <w:p>
      <w:pPr>
        <w:pStyle w:val="4"/>
        <w:kinsoku w:val="0"/>
        <w:overflowPunct w:val="0"/>
        <w:spacing w:line="480" w:lineRule="exact"/>
        <w:ind w:left="-440" w:leftChars="-200" w:right="-486" w:rightChars="-221" w:firstLine="560" w:firstLineChars="200"/>
        <w:jc w:val="both"/>
        <w:rPr>
          <w:b/>
          <w:bCs/>
          <w:sz w:val="28"/>
          <w:szCs w:val="28"/>
          <w:lang w:eastAsia="zh-CN"/>
        </w:rPr>
      </w:pPr>
      <w:r>
        <w:rPr>
          <w:rFonts w:hint="eastAsia"/>
          <w:b/>
          <w:bCs/>
          <w:sz w:val="28"/>
          <w:szCs w:val="28"/>
          <w:lang w:eastAsia="zh-CN"/>
        </w:rPr>
        <w:t>五、</w:t>
      </w:r>
      <w:bookmarkStart w:id="14" w:name="_Hlk117892261"/>
      <w:r>
        <w:rPr>
          <w:rFonts w:hint="eastAsia"/>
          <w:b/>
          <w:bCs/>
          <w:sz w:val="28"/>
          <w:szCs w:val="28"/>
          <w:lang w:eastAsia="zh-CN"/>
        </w:rPr>
        <w:t>与现行法律、行政法规和相关标准的关系</w:t>
      </w:r>
    </w:p>
    <w:bookmarkEnd w:id="14"/>
    <w:p>
      <w:pPr>
        <w:tabs>
          <w:tab w:val="left" w:pos="1815"/>
        </w:tabs>
        <w:spacing w:before="156" w:beforeLines="50" w:after="156" w:afterLines="50"/>
        <w:ind w:left="-440" w:leftChars="-200" w:right="-486" w:rightChars="-221"/>
        <w:rPr>
          <w:rFonts w:hint="eastAsia" w:eastAsia="宋体"/>
          <w:sz w:val="24"/>
          <w:szCs w:val="24"/>
          <w:lang w:eastAsia="zh-CN"/>
        </w:rPr>
      </w:pPr>
      <w:r>
        <w:rPr>
          <w:rFonts w:hint="eastAsia" w:ascii="仿宋" w:hAnsi="仿宋" w:eastAsia="仿宋"/>
          <w:sz w:val="21"/>
          <w:szCs w:val="21"/>
          <w:lang w:eastAsia="zh-CN"/>
        </w:rPr>
        <w:t xml:space="preserve">  </w:t>
      </w:r>
      <w:r>
        <w:rPr>
          <w:rFonts w:hint="eastAsia" w:eastAsia="宋体"/>
          <w:sz w:val="21"/>
          <w:szCs w:val="21"/>
          <w:lang w:eastAsia="zh-CN"/>
        </w:rPr>
        <w:t xml:space="preserve"> </w:t>
      </w:r>
      <w:r>
        <w:rPr>
          <w:rFonts w:hint="eastAsia" w:eastAsia="宋体"/>
          <w:sz w:val="24"/>
          <w:szCs w:val="24"/>
          <w:lang w:eastAsia="zh-CN"/>
        </w:rPr>
        <w:t xml:space="preserve"> 本文件与相关法律、法规、规章及相关标准协调一致，没有冲突。</w:t>
      </w:r>
    </w:p>
    <w:p>
      <w:pPr>
        <w:pStyle w:val="4"/>
        <w:kinsoku w:val="0"/>
        <w:overflowPunct w:val="0"/>
        <w:spacing w:line="480" w:lineRule="exact"/>
        <w:ind w:left="-440" w:leftChars="-200" w:right="-486" w:rightChars="-221" w:firstLine="560" w:firstLineChars="200"/>
        <w:jc w:val="both"/>
        <w:rPr>
          <w:b/>
          <w:bCs/>
          <w:sz w:val="28"/>
          <w:szCs w:val="28"/>
          <w:lang w:eastAsia="zh-CN"/>
        </w:rPr>
      </w:pPr>
      <w:r>
        <w:rPr>
          <w:rFonts w:hint="eastAsia"/>
          <w:b/>
          <w:bCs/>
          <w:sz w:val="28"/>
          <w:szCs w:val="28"/>
          <w:lang w:eastAsia="zh-CN"/>
        </w:rPr>
        <w:t>六、重大分歧意见的处理经过和依据</w:t>
      </w:r>
    </w:p>
    <w:p>
      <w:pPr>
        <w:tabs>
          <w:tab w:val="left" w:pos="1815"/>
        </w:tabs>
        <w:spacing w:before="156" w:beforeLines="50" w:after="156" w:afterLines="50"/>
        <w:ind w:left="-440" w:leftChars="-200" w:right="-486" w:rightChars="-221"/>
        <w:rPr>
          <w:rFonts w:hint="eastAsia" w:eastAsia="宋体"/>
          <w:sz w:val="24"/>
          <w:szCs w:val="24"/>
          <w:lang w:eastAsia="zh-CN"/>
        </w:rPr>
      </w:pPr>
      <w:r>
        <w:rPr>
          <w:rFonts w:hint="eastAsia" w:eastAsia="宋体"/>
          <w:sz w:val="21"/>
          <w:szCs w:val="21"/>
          <w:lang w:eastAsia="zh-CN"/>
        </w:rPr>
        <w:t xml:space="preserve">   </w:t>
      </w:r>
      <w:r>
        <w:rPr>
          <w:rFonts w:hint="eastAsia" w:eastAsia="宋体"/>
          <w:sz w:val="24"/>
          <w:szCs w:val="24"/>
          <w:lang w:eastAsia="zh-CN"/>
        </w:rPr>
        <w:t xml:space="preserve"> 本文件在制定过程中未出现重大分歧意见。</w:t>
      </w:r>
    </w:p>
    <w:p>
      <w:pPr>
        <w:pStyle w:val="4"/>
        <w:kinsoku w:val="0"/>
        <w:overflowPunct w:val="0"/>
        <w:spacing w:line="480" w:lineRule="exact"/>
        <w:ind w:left="-440" w:leftChars="-200" w:right="-486" w:rightChars="-221" w:firstLine="560" w:firstLineChars="200"/>
        <w:jc w:val="both"/>
        <w:rPr>
          <w:b/>
          <w:bCs/>
          <w:sz w:val="28"/>
          <w:szCs w:val="28"/>
          <w:lang w:eastAsia="zh-CN"/>
        </w:rPr>
      </w:pPr>
      <w:r>
        <w:rPr>
          <w:rFonts w:hint="eastAsia"/>
          <w:b/>
          <w:bCs/>
          <w:sz w:val="28"/>
          <w:szCs w:val="28"/>
          <w:lang w:eastAsia="zh-CN"/>
        </w:rPr>
        <w:t>七、</w:t>
      </w:r>
      <w:bookmarkStart w:id="15" w:name="_Hlk117892288"/>
      <w:r>
        <w:rPr>
          <w:rFonts w:hint="eastAsia"/>
          <w:b/>
          <w:bCs/>
          <w:sz w:val="28"/>
          <w:szCs w:val="28"/>
          <w:lang w:eastAsia="zh-CN"/>
        </w:rPr>
        <w:t>实施标准的要求和措施建议</w:t>
      </w:r>
      <w:bookmarkEnd w:id="15"/>
    </w:p>
    <w:p>
      <w:pPr>
        <w:keepNext w:val="0"/>
        <w:keepLines w:val="0"/>
        <w:pageBreakBefore w:val="0"/>
        <w:widowControl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eastAsia="宋体"/>
          <w:sz w:val="24"/>
          <w:szCs w:val="24"/>
          <w:lang w:eastAsia="zh-CN"/>
        </w:rPr>
      </w:pPr>
      <w:r>
        <w:rPr>
          <w:rFonts w:hint="eastAsia" w:eastAsia="宋体"/>
          <w:sz w:val="24"/>
          <w:szCs w:val="24"/>
          <w:lang w:eastAsia="zh-CN"/>
        </w:rPr>
        <w:t>本文件发布后，应向相关企业进行宣传、贯彻，推荐执行该文件。</w:t>
      </w:r>
    </w:p>
    <w:p>
      <w:pPr>
        <w:pStyle w:val="4"/>
        <w:kinsoku w:val="0"/>
        <w:overflowPunct w:val="0"/>
        <w:spacing w:line="480" w:lineRule="exact"/>
        <w:ind w:left="-440" w:leftChars="-200" w:right="-486" w:rightChars="-221" w:firstLine="560" w:firstLineChars="200"/>
        <w:jc w:val="both"/>
        <w:rPr>
          <w:b/>
          <w:bCs/>
          <w:sz w:val="28"/>
          <w:szCs w:val="28"/>
          <w:lang w:eastAsia="zh-CN"/>
        </w:rPr>
      </w:pPr>
      <w:r>
        <w:rPr>
          <w:rFonts w:hint="eastAsia"/>
          <w:b/>
          <w:bCs/>
          <w:sz w:val="28"/>
          <w:szCs w:val="28"/>
          <w:lang w:eastAsia="zh-CN"/>
        </w:rPr>
        <w:t>八、其他应当说明的事项</w:t>
      </w:r>
    </w:p>
    <w:p>
      <w:pPr>
        <w:keepNext w:val="0"/>
        <w:keepLines w:val="0"/>
        <w:pageBreakBefore w:val="0"/>
        <w:widowControl w:val="0"/>
        <w:tabs>
          <w:tab w:val="left" w:pos="1815"/>
        </w:tabs>
        <w:kinsoku/>
        <w:wordWrap/>
        <w:overflowPunct/>
        <w:topLinePunct w:val="0"/>
        <w:autoSpaceDE w:val="0"/>
        <w:autoSpaceDN w:val="0"/>
        <w:bidi w:val="0"/>
        <w:adjustRightInd/>
        <w:snapToGrid/>
        <w:spacing w:line="480" w:lineRule="exact"/>
        <w:ind w:left="-440" w:leftChars="-200" w:right="-486" w:rightChars="-221" w:firstLine="480" w:firstLineChars="200"/>
        <w:textAlignment w:val="auto"/>
        <w:rPr>
          <w:rFonts w:hint="eastAsia" w:eastAsia="宋体"/>
          <w:sz w:val="24"/>
          <w:szCs w:val="24"/>
          <w:lang w:eastAsia="zh-CN"/>
        </w:rPr>
      </w:pPr>
      <w:r>
        <w:rPr>
          <w:rFonts w:hint="eastAsia" w:eastAsia="宋体"/>
          <w:sz w:val="24"/>
          <w:szCs w:val="24"/>
          <w:lang w:eastAsia="zh-CN"/>
        </w:rPr>
        <w:t>无。</w:t>
      </w:r>
    </w:p>
    <w:p>
      <w:pPr>
        <w:tabs>
          <w:tab w:val="left" w:pos="1815"/>
        </w:tabs>
        <w:spacing w:line="480" w:lineRule="exact"/>
        <w:ind w:left="-440" w:leftChars="-200" w:right="-486" w:rightChars="-221" w:firstLine="420" w:firstLineChars="200"/>
        <w:rPr>
          <w:rFonts w:eastAsia="宋体"/>
          <w:sz w:val="21"/>
          <w:szCs w:val="21"/>
          <w:lang w:eastAsia="zh-CN"/>
        </w:rPr>
      </w:pPr>
      <w:bookmarkStart w:id="16" w:name="_GoBack"/>
      <w:bookmarkEnd w:id="16"/>
    </w:p>
    <w:p>
      <w:pPr>
        <w:tabs>
          <w:tab w:val="left" w:pos="1815"/>
        </w:tabs>
        <w:spacing w:line="480" w:lineRule="exact"/>
        <w:ind w:left="-440" w:leftChars="-200" w:right="-486" w:rightChars="-221" w:firstLine="420" w:firstLineChars="200"/>
        <w:rPr>
          <w:rFonts w:eastAsia="宋体"/>
          <w:sz w:val="21"/>
          <w:szCs w:val="21"/>
          <w:lang w:eastAsia="zh-CN"/>
        </w:rPr>
      </w:pPr>
    </w:p>
    <w:p>
      <w:pPr>
        <w:tabs>
          <w:tab w:val="left" w:pos="1815"/>
        </w:tabs>
        <w:spacing w:before="156" w:beforeLines="50" w:after="156" w:afterLines="50"/>
        <w:ind w:left="-440" w:leftChars="-200" w:right="-486" w:rightChars="-221"/>
        <w:rPr>
          <w:rFonts w:eastAsia="宋体"/>
          <w:sz w:val="21"/>
          <w:szCs w:val="21"/>
          <w:lang w:eastAsia="zh-CN"/>
        </w:rPr>
      </w:pPr>
    </w:p>
    <w:p>
      <w:pPr>
        <w:tabs>
          <w:tab w:val="left" w:pos="1815"/>
        </w:tabs>
        <w:spacing w:line="360" w:lineRule="auto"/>
        <w:ind w:left="-440" w:leftChars="-200" w:right="-486" w:rightChars="-221"/>
        <w:jc w:val="right"/>
        <w:rPr>
          <w:rFonts w:eastAsia="宋体"/>
          <w:b/>
          <w:bCs/>
          <w:sz w:val="28"/>
          <w:szCs w:val="28"/>
          <w:lang w:eastAsia="zh-CN"/>
        </w:rPr>
      </w:pPr>
      <w:r>
        <w:rPr>
          <w:rFonts w:hint="eastAsia" w:eastAsia="宋体"/>
          <w:b/>
          <w:bCs/>
          <w:sz w:val="28"/>
          <w:szCs w:val="28"/>
          <w:lang w:eastAsia="zh-CN"/>
        </w:rPr>
        <w:t>标准起草工作组</w:t>
      </w:r>
    </w:p>
    <w:p>
      <w:pPr>
        <w:tabs>
          <w:tab w:val="left" w:pos="1815"/>
        </w:tabs>
        <w:spacing w:line="360" w:lineRule="auto"/>
        <w:ind w:left="-440" w:leftChars="-200" w:right="-486" w:rightChars="-221"/>
        <w:jc w:val="right"/>
        <w:rPr>
          <w:rFonts w:eastAsiaTheme="minorEastAsia"/>
          <w:b/>
          <w:bCs/>
          <w:sz w:val="28"/>
          <w:szCs w:val="28"/>
          <w:lang w:eastAsia="zh-CN"/>
        </w:rPr>
      </w:pPr>
      <w:r>
        <w:rPr>
          <w:rFonts w:hint="eastAsia" w:eastAsia="宋体"/>
          <w:b/>
          <w:bCs/>
          <w:sz w:val="28"/>
          <w:szCs w:val="28"/>
          <w:lang w:eastAsia="zh-CN"/>
        </w:rPr>
        <w:t>2</w:t>
      </w:r>
      <w:r>
        <w:rPr>
          <w:rFonts w:eastAsia="宋体"/>
          <w:b/>
          <w:bCs/>
          <w:sz w:val="28"/>
          <w:szCs w:val="28"/>
          <w:lang w:eastAsia="zh-CN"/>
        </w:rPr>
        <w:t>023</w:t>
      </w:r>
      <w:r>
        <w:rPr>
          <w:rFonts w:hint="eastAsia" w:eastAsia="宋体"/>
          <w:b/>
          <w:bCs/>
          <w:sz w:val="28"/>
          <w:szCs w:val="28"/>
          <w:lang w:eastAsia="zh-CN"/>
        </w:rPr>
        <w:t>年</w:t>
      </w:r>
      <w:r>
        <w:rPr>
          <w:rFonts w:eastAsia="宋体"/>
          <w:b/>
          <w:bCs/>
          <w:sz w:val="28"/>
          <w:szCs w:val="28"/>
          <w:lang w:eastAsia="zh-CN"/>
        </w:rPr>
        <w:t>2</w:t>
      </w:r>
      <w:r>
        <w:rPr>
          <w:rFonts w:hint="eastAsia" w:eastAsia="宋体"/>
          <w:b/>
          <w:bCs/>
          <w:sz w:val="28"/>
          <w:szCs w:val="28"/>
          <w:lang w:eastAsia="zh-CN"/>
        </w:rPr>
        <w:t>月1</w:t>
      </w:r>
      <w:r>
        <w:rPr>
          <w:rFonts w:eastAsia="宋体"/>
          <w:b/>
          <w:bCs/>
          <w:sz w:val="28"/>
          <w:szCs w:val="28"/>
          <w:lang w:eastAsia="zh-CN"/>
        </w:rPr>
        <w:t>0</w:t>
      </w:r>
      <w:r>
        <w:rPr>
          <w:rFonts w:hint="eastAsia" w:eastAsia="宋体"/>
          <w:b/>
          <w:bCs/>
          <w:sz w:val="28"/>
          <w:szCs w:val="28"/>
          <w:lang w:eastAsia="zh-CN"/>
        </w:rPr>
        <w:t>日</w:t>
      </w:r>
    </w:p>
    <w:sectPr>
      <w:headerReference r:id="rId3" w:type="default"/>
      <w:footerReference r:id="rId4"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64A20"/>
    <w:multiLevelType w:val="multilevel"/>
    <w:tmpl w:val="30D64A2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9223D0"/>
    <w:multiLevelType w:val="multilevel"/>
    <w:tmpl w:val="339223D0"/>
    <w:lvl w:ilvl="0" w:tentative="0">
      <w:start w:val="1"/>
      <w:numFmt w:val="lowerLetter"/>
      <w:lvlText w:val="%1)"/>
      <w:lvlJc w:val="left"/>
      <w:pPr>
        <w:ind w:left="420" w:hanging="420"/>
      </w:p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A41B75"/>
    <w:multiLevelType w:val="multilevel"/>
    <w:tmpl w:val="5AA41B75"/>
    <w:lvl w:ilvl="0" w:tentative="0">
      <w:start w:val="4"/>
      <w:numFmt w:val="decimal"/>
      <w:lvlText w:val="%1"/>
      <w:lvlJc w:val="left"/>
      <w:pPr>
        <w:ind w:left="430" w:hanging="430"/>
      </w:pPr>
      <w:rPr>
        <w:rFonts w:hint="default"/>
      </w:rPr>
    </w:lvl>
    <w:lvl w:ilvl="1" w:tentative="0">
      <w:start w:val="4"/>
      <w:numFmt w:val="decimal"/>
      <w:lvlText w:val="%1.%2"/>
      <w:lvlJc w:val="left"/>
      <w:pPr>
        <w:ind w:left="430" w:hanging="430"/>
      </w:pPr>
      <w:rPr>
        <w:rFonts w:hint="default"/>
      </w:rPr>
    </w:lvl>
    <w:lvl w:ilvl="2" w:tentative="0">
      <w:start w:val="1"/>
      <w:numFmt w:val="bullet"/>
      <w:lvlText w:val=""/>
      <w:lvlJc w:val="left"/>
      <w:pPr>
        <w:ind w:left="420" w:hanging="420"/>
      </w:pPr>
      <w:rPr>
        <w:rFonts w:hint="default" w:ascii="Wingdings" w:hAnsi="Wingdings"/>
      </w:rPr>
    </w:lvl>
    <w:lvl w:ilvl="3" w:tentative="0">
      <w:start w:val="1"/>
      <w:numFmt w:val="bullet"/>
      <w:lvlText w:val=""/>
      <w:lvlJc w:val="left"/>
      <w:pPr>
        <w:ind w:left="420" w:hanging="420"/>
      </w:pPr>
      <w:rPr>
        <w:rFonts w:hint="default" w:ascii="Wingdings" w:hAnsi="Wingdings"/>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3NLU0NzY1tjA1NzRQ0lEKTi0uzszPAykwrAUAtVYRyiwAAAA="/>
    <w:docVar w:name="commondata" w:val="eyJoZGlkIjoiZDdjNjM4NjE4NDQ3MzRkMGIyMWJjYzY1YzA1MzEzOWQifQ=="/>
  </w:docVars>
  <w:rsids>
    <w:rsidRoot w:val="0039606D"/>
    <w:rsid w:val="000231EA"/>
    <w:rsid w:val="00027F3A"/>
    <w:rsid w:val="00030BE9"/>
    <w:rsid w:val="000319F0"/>
    <w:rsid w:val="0004378F"/>
    <w:rsid w:val="00044557"/>
    <w:rsid w:val="00046EAE"/>
    <w:rsid w:val="0005005D"/>
    <w:rsid w:val="00051C3A"/>
    <w:rsid w:val="00053643"/>
    <w:rsid w:val="00055A34"/>
    <w:rsid w:val="00057459"/>
    <w:rsid w:val="0006010C"/>
    <w:rsid w:val="00067C19"/>
    <w:rsid w:val="0008340D"/>
    <w:rsid w:val="00090BDA"/>
    <w:rsid w:val="00095D42"/>
    <w:rsid w:val="000A1768"/>
    <w:rsid w:val="000B1EDC"/>
    <w:rsid w:val="000B21BC"/>
    <w:rsid w:val="000B2AA4"/>
    <w:rsid w:val="000B3042"/>
    <w:rsid w:val="000B3E60"/>
    <w:rsid w:val="000D15F8"/>
    <w:rsid w:val="000D1609"/>
    <w:rsid w:val="000D5520"/>
    <w:rsid w:val="000D5C13"/>
    <w:rsid w:val="000E054E"/>
    <w:rsid w:val="000E1D30"/>
    <w:rsid w:val="000E404A"/>
    <w:rsid w:val="000E57B2"/>
    <w:rsid w:val="000F1D77"/>
    <w:rsid w:val="000F2BEB"/>
    <w:rsid w:val="0010157A"/>
    <w:rsid w:val="001039EE"/>
    <w:rsid w:val="00111107"/>
    <w:rsid w:val="00111610"/>
    <w:rsid w:val="00123442"/>
    <w:rsid w:val="001306F6"/>
    <w:rsid w:val="00133D8D"/>
    <w:rsid w:val="00135AE1"/>
    <w:rsid w:val="00136A3C"/>
    <w:rsid w:val="00144F41"/>
    <w:rsid w:val="00145612"/>
    <w:rsid w:val="001555B4"/>
    <w:rsid w:val="001620AA"/>
    <w:rsid w:val="00165B44"/>
    <w:rsid w:val="00165EBA"/>
    <w:rsid w:val="00174ED9"/>
    <w:rsid w:val="00182292"/>
    <w:rsid w:val="0018707F"/>
    <w:rsid w:val="001875C9"/>
    <w:rsid w:val="00190A8B"/>
    <w:rsid w:val="00194385"/>
    <w:rsid w:val="001A1DE6"/>
    <w:rsid w:val="001A2465"/>
    <w:rsid w:val="001A2B98"/>
    <w:rsid w:val="001B1281"/>
    <w:rsid w:val="001C037E"/>
    <w:rsid w:val="001C1C27"/>
    <w:rsid w:val="001C2A75"/>
    <w:rsid w:val="001C7821"/>
    <w:rsid w:val="001E1591"/>
    <w:rsid w:val="001E3DA3"/>
    <w:rsid w:val="001E69C2"/>
    <w:rsid w:val="001E6B3C"/>
    <w:rsid w:val="001F0DEB"/>
    <w:rsid w:val="001F1566"/>
    <w:rsid w:val="001F2A4E"/>
    <w:rsid w:val="001F3BC7"/>
    <w:rsid w:val="00204F76"/>
    <w:rsid w:val="00223509"/>
    <w:rsid w:val="00224F2C"/>
    <w:rsid w:val="0022532E"/>
    <w:rsid w:val="00226A57"/>
    <w:rsid w:val="00230917"/>
    <w:rsid w:val="00232A13"/>
    <w:rsid w:val="00233319"/>
    <w:rsid w:val="002413E6"/>
    <w:rsid w:val="00242DC5"/>
    <w:rsid w:val="00242E27"/>
    <w:rsid w:val="00243EEA"/>
    <w:rsid w:val="00264304"/>
    <w:rsid w:val="002657F0"/>
    <w:rsid w:val="00270662"/>
    <w:rsid w:val="00270AFC"/>
    <w:rsid w:val="00272E98"/>
    <w:rsid w:val="00282767"/>
    <w:rsid w:val="00282E20"/>
    <w:rsid w:val="002865F5"/>
    <w:rsid w:val="00290A7C"/>
    <w:rsid w:val="00294F93"/>
    <w:rsid w:val="00297802"/>
    <w:rsid w:val="002A00F1"/>
    <w:rsid w:val="002A4B90"/>
    <w:rsid w:val="002B2B38"/>
    <w:rsid w:val="002B59C0"/>
    <w:rsid w:val="002B6388"/>
    <w:rsid w:val="002C0D5E"/>
    <w:rsid w:val="002C3B18"/>
    <w:rsid w:val="002C4F36"/>
    <w:rsid w:val="002C7C26"/>
    <w:rsid w:val="002D0D39"/>
    <w:rsid w:val="002E6796"/>
    <w:rsid w:val="002E6943"/>
    <w:rsid w:val="002E7E79"/>
    <w:rsid w:val="002F2658"/>
    <w:rsid w:val="002F3B0B"/>
    <w:rsid w:val="002F4B63"/>
    <w:rsid w:val="00300AA1"/>
    <w:rsid w:val="00304E82"/>
    <w:rsid w:val="00305D23"/>
    <w:rsid w:val="00306AE4"/>
    <w:rsid w:val="00314FDD"/>
    <w:rsid w:val="00320835"/>
    <w:rsid w:val="00325255"/>
    <w:rsid w:val="00325DF1"/>
    <w:rsid w:val="00331F20"/>
    <w:rsid w:val="003324D1"/>
    <w:rsid w:val="00332AB4"/>
    <w:rsid w:val="0033462B"/>
    <w:rsid w:val="00334AA1"/>
    <w:rsid w:val="003364F6"/>
    <w:rsid w:val="00337133"/>
    <w:rsid w:val="003373D7"/>
    <w:rsid w:val="00341327"/>
    <w:rsid w:val="00342AFB"/>
    <w:rsid w:val="00353BCC"/>
    <w:rsid w:val="00355FDC"/>
    <w:rsid w:val="00362502"/>
    <w:rsid w:val="0036581B"/>
    <w:rsid w:val="00367D5C"/>
    <w:rsid w:val="003700C4"/>
    <w:rsid w:val="003736F0"/>
    <w:rsid w:val="00373868"/>
    <w:rsid w:val="00374213"/>
    <w:rsid w:val="00377F01"/>
    <w:rsid w:val="003806CF"/>
    <w:rsid w:val="003921D3"/>
    <w:rsid w:val="0039484E"/>
    <w:rsid w:val="0039606D"/>
    <w:rsid w:val="003A642C"/>
    <w:rsid w:val="003C13D1"/>
    <w:rsid w:val="003C1DC2"/>
    <w:rsid w:val="003C1FAC"/>
    <w:rsid w:val="003D6507"/>
    <w:rsid w:val="003E5340"/>
    <w:rsid w:val="003E58E9"/>
    <w:rsid w:val="003F2521"/>
    <w:rsid w:val="003F5951"/>
    <w:rsid w:val="003F7041"/>
    <w:rsid w:val="0040079D"/>
    <w:rsid w:val="0040373C"/>
    <w:rsid w:val="00410B3F"/>
    <w:rsid w:val="00412392"/>
    <w:rsid w:val="004132C2"/>
    <w:rsid w:val="0041667D"/>
    <w:rsid w:val="0042691C"/>
    <w:rsid w:val="00431C66"/>
    <w:rsid w:val="00432709"/>
    <w:rsid w:val="0044166D"/>
    <w:rsid w:val="0044196F"/>
    <w:rsid w:val="00450B3B"/>
    <w:rsid w:val="0045372B"/>
    <w:rsid w:val="00456143"/>
    <w:rsid w:val="004572B6"/>
    <w:rsid w:val="00460411"/>
    <w:rsid w:val="004626F2"/>
    <w:rsid w:val="00463992"/>
    <w:rsid w:val="00463A38"/>
    <w:rsid w:val="00463FBA"/>
    <w:rsid w:val="00473F8E"/>
    <w:rsid w:val="004A0CBD"/>
    <w:rsid w:val="004B22D6"/>
    <w:rsid w:val="004C1B07"/>
    <w:rsid w:val="004E3FAC"/>
    <w:rsid w:val="004F0DAC"/>
    <w:rsid w:val="004F156F"/>
    <w:rsid w:val="004F63DB"/>
    <w:rsid w:val="00501FE3"/>
    <w:rsid w:val="00504981"/>
    <w:rsid w:val="0051019B"/>
    <w:rsid w:val="00512D58"/>
    <w:rsid w:val="00516697"/>
    <w:rsid w:val="00520BB2"/>
    <w:rsid w:val="0052620C"/>
    <w:rsid w:val="00531618"/>
    <w:rsid w:val="005317D3"/>
    <w:rsid w:val="0053624F"/>
    <w:rsid w:val="00537464"/>
    <w:rsid w:val="00540BD1"/>
    <w:rsid w:val="00541E8F"/>
    <w:rsid w:val="00544FA5"/>
    <w:rsid w:val="0055338D"/>
    <w:rsid w:val="005538F2"/>
    <w:rsid w:val="005550F7"/>
    <w:rsid w:val="00562DCC"/>
    <w:rsid w:val="005766CD"/>
    <w:rsid w:val="005871A0"/>
    <w:rsid w:val="00592133"/>
    <w:rsid w:val="005922F1"/>
    <w:rsid w:val="0059798D"/>
    <w:rsid w:val="005A0B6B"/>
    <w:rsid w:val="005B0B24"/>
    <w:rsid w:val="005B690A"/>
    <w:rsid w:val="005C575B"/>
    <w:rsid w:val="005C718D"/>
    <w:rsid w:val="005D2B3A"/>
    <w:rsid w:val="005D62B8"/>
    <w:rsid w:val="005D6E72"/>
    <w:rsid w:val="005E052F"/>
    <w:rsid w:val="005E2AF9"/>
    <w:rsid w:val="005E3CA8"/>
    <w:rsid w:val="005E4F97"/>
    <w:rsid w:val="005E70D9"/>
    <w:rsid w:val="005F6212"/>
    <w:rsid w:val="0060033E"/>
    <w:rsid w:val="00603151"/>
    <w:rsid w:val="0061398F"/>
    <w:rsid w:val="00615E0A"/>
    <w:rsid w:val="00624CB3"/>
    <w:rsid w:val="006267BC"/>
    <w:rsid w:val="00635A1C"/>
    <w:rsid w:val="0064023B"/>
    <w:rsid w:val="0064185E"/>
    <w:rsid w:val="00643FF9"/>
    <w:rsid w:val="00644949"/>
    <w:rsid w:val="00645F0E"/>
    <w:rsid w:val="00651A6E"/>
    <w:rsid w:val="006559D0"/>
    <w:rsid w:val="006559EA"/>
    <w:rsid w:val="00664E3C"/>
    <w:rsid w:val="00665420"/>
    <w:rsid w:val="00670818"/>
    <w:rsid w:val="00670B7F"/>
    <w:rsid w:val="00677A62"/>
    <w:rsid w:val="006968DA"/>
    <w:rsid w:val="006976B4"/>
    <w:rsid w:val="006A2DCA"/>
    <w:rsid w:val="006A7A29"/>
    <w:rsid w:val="006C4F09"/>
    <w:rsid w:val="006C6270"/>
    <w:rsid w:val="006C6465"/>
    <w:rsid w:val="006D21D1"/>
    <w:rsid w:val="006D3D43"/>
    <w:rsid w:val="006D3EDB"/>
    <w:rsid w:val="006E091E"/>
    <w:rsid w:val="006E1747"/>
    <w:rsid w:val="006E2F68"/>
    <w:rsid w:val="006E3634"/>
    <w:rsid w:val="006E729B"/>
    <w:rsid w:val="006F32F7"/>
    <w:rsid w:val="006F6CFB"/>
    <w:rsid w:val="00701DA9"/>
    <w:rsid w:val="00703F67"/>
    <w:rsid w:val="0070575F"/>
    <w:rsid w:val="00723B05"/>
    <w:rsid w:val="007266E4"/>
    <w:rsid w:val="007300AD"/>
    <w:rsid w:val="00731BB7"/>
    <w:rsid w:val="007339FE"/>
    <w:rsid w:val="00745636"/>
    <w:rsid w:val="0074766F"/>
    <w:rsid w:val="00747ECB"/>
    <w:rsid w:val="007503A6"/>
    <w:rsid w:val="00752C7C"/>
    <w:rsid w:val="00756AB0"/>
    <w:rsid w:val="00760269"/>
    <w:rsid w:val="0076145C"/>
    <w:rsid w:val="007620F8"/>
    <w:rsid w:val="007625E2"/>
    <w:rsid w:val="00770A68"/>
    <w:rsid w:val="0077179A"/>
    <w:rsid w:val="007720E9"/>
    <w:rsid w:val="00777512"/>
    <w:rsid w:val="007777D2"/>
    <w:rsid w:val="00777A48"/>
    <w:rsid w:val="00791884"/>
    <w:rsid w:val="007918A6"/>
    <w:rsid w:val="0079733A"/>
    <w:rsid w:val="007A1FDE"/>
    <w:rsid w:val="007B0550"/>
    <w:rsid w:val="007C4840"/>
    <w:rsid w:val="007C758B"/>
    <w:rsid w:val="007D5C71"/>
    <w:rsid w:val="007E119B"/>
    <w:rsid w:val="007E23E4"/>
    <w:rsid w:val="007E3DE7"/>
    <w:rsid w:val="007E6314"/>
    <w:rsid w:val="007F2331"/>
    <w:rsid w:val="007F4E1F"/>
    <w:rsid w:val="007F4FC9"/>
    <w:rsid w:val="007F6361"/>
    <w:rsid w:val="0080164D"/>
    <w:rsid w:val="0080281C"/>
    <w:rsid w:val="00805D7E"/>
    <w:rsid w:val="008101A1"/>
    <w:rsid w:val="008174FE"/>
    <w:rsid w:val="0083013F"/>
    <w:rsid w:val="00832939"/>
    <w:rsid w:val="00832F63"/>
    <w:rsid w:val="00833395"/>
    <w:rsid w:val="00834619"/>
    <w:rsid w:val="0083568A"/>
    <w:rsid w:val="00841408"/>
    <w:rsid w:val="00842BE4"/>
    <w:rsid w:val="0084502C"/>
    <w:rsid w:val="00846A58"/>
    <w:rsid w:val="00846D83"/>
    <w:rsid w:val="00852A9B"/>
    <w:rsid w:val="008806D1"/>
    <w:rsid w:val="0088613A"/>
    <w:rsid w:val="00892831"/>
    <w:rsid w:val="008944AD"/>
    <w:rsid w:val="008A3562"/>
    <w:rsid w:val="008B3892"/>
    <w:rsid w:val="008B5411"/>
    <w:rsid w:val="008B6BAE"/>
    <w:rsid w:val="008B720E"/>
    <w:rsid w:val="008C1EE2"/>
    <w:rsid w:val="008C3C51"/>
    <w:rsid w:val="008C42B2"/>
    <w:rsid w:val="008C7BEB"/>
    <w:rsid w:val="008D1AFE"/>
    <w:rsid w:val="008E1E3E"/>
    <w:rsid w:val="008F1665"/>
    <w:rsid w:val="008F598F"/>
    <w:rsid w:val="009002E2"/>
    <w:rsid w:val="009005AF"/>
    <w:rsid w:val="00904850"/>
    <w:rsid w:val="009132D3"/>
    <w:rsid w:val="009146CC"/>
    <w:rsid w:val="00925E90"/>
    <w:rsid w:val="00931989"/>
    <w:rsid w:val="0093563E"/>
    <w:rsid w:val="00935651"/>
    <w:rsid w:val="009419D5"/>
    <w:rsid w:val="0095117A"/>
    <w:rsid w:val="00956D5F"/>
    <w:rsid w:val="0096035D"/>
    <w:rsid w:val="00962C14"/>
    <w:rsid w:val="009738CC"/>
    <w:rsid w:val="00976426"/>
    <w:rsid w:val="0098596D"/>
    <w:rsid w:val="00991FCB"/>
    <w:rsid w:val="009920EA"/>
    <w:rsid w:val="00992C9E"/>
    <w:rsid w:val="0099582D"/>
    <w:rsid w:val="00995CB7"/>
    <w:rsid w:val="009A06E7"/>
    <w:rsid w:val="009A1745"/>
    <w:rsid w:val="009A3C57"/>
    <w:rsid w:val="009D51F4"/>
    <w:rsid w:val="009F00FE"/>
    <w:rsid w:val="009F5427"/>
    <w:rsid w:val="009F65A7"/>
    <w:rsid w:val="009F73B4"/>
    <w:rsid w:val="00A012FC"/>
    <w:rsid w:val="00A0301B"/>
    <w:rsid w:val="00A037BB"/>
    <w:rsid w:val="00A1088F"/>
    <w:rsid w:val="00A10F6A"/>
    <w:rsid w:val="00A20852"/>
    <w:rsid w:val="00A22569"/>
    <w:rsid w:val="00A3564C"/>
    <w:rsid w:val="00A4098B"/>
    <w:rsid w:val="00A47A34"/>
    <w:rsid w:val="00A530BE"/>
    <w:rsid w:val="00A5565E"/>
    <w:rsid w:val="00A56FB9"/>
    <w:rsid w:val="00A64802"/>
    <w:rsid w:val="00A65E57"/>
    <w:rsid w:val="00A7206F"/>
    <w:rsid w:val="00A73655"/>
    <w:rsid w:val="00A75174"/>
    <w:rsid w:val="00A778F3"/>
    <w:rsid w:val="00A82AC0"/>
    <w:rsid w:val="00A84441"/>
    <w:rsid w:val="00A9484C"/>
    <w:rsid w:val="00A972CA"/>
    <w:rsid w:val="00AA5F23"/>
    <w:rsid w:val="00AA65F1"/>
    <w:rsid w:val="00AA6CCF"/>
    <w:rsid w:val="00AB050F"/>
    <w:rsid w:val="00AB46D3"/>
    <w:rsid w:val="00AC02D5"/>
    <w:rsid w:val="00AC1AF1"/>
    <w:rsid w:val="00AD006B"/>
    <w:rsid w:val="00AD3CF9"/>
    <w:rsid w:val="00AE3760"/>
    <w:rsid w:val="00AE63C3"/>
    <w:rsid w:val="00AF18D5"/>
    <w:rsid w:val="00AF7C5A"/>
    <w:rsid w:val="00B012EE"/>
    <w:rsid w:val="00B02E2A"/>
    <w:rsid w:val="00B02E5F"/>
    <w:rsid w:val="00B0365E"/>
    <w:rsid w:val="00B04640"/>
    <w:rsid w:val="00B06A86"/>
    <w:rsid w:val="00B0764F"/>
    <w:rsid w:val="00B13995"/>
    <w:rsid w:val="00B17D97"/>
    <w:rsid w:val="00B21DB9"/>
    <w:rsid w:val="00B44760"/>
    <w:rsid w:val="00B451FD"/>
    <w:rsid w:val="00B50C21"/>
    <w:rsid w:val="00B52ECF"/>
    <w:rsid w:val="00B54280"/>
    <w:rsid w:val="00B67609"/>
    <w:rsid w:val="00B80F63"/>
    <w:rsid w:val="00B81C70"/>
    <w:rsid w:val="00B81F20"/>
    <w:rsid w:val="00B91ADB"/>
    <w:rsid w:val="00B945ED"/>
    <w:rsid w:val="00BA079B"/>
    <w:rsid w:val="00BA3314"/>
    <w:rsid w:val="00BA6C63"/>
    <w:rsid w:val="00BB5B3B"/>
    <w:rsid w:val="00BC0156"/>
    <w:rsid w:val="00BC386D"/>
    <w:rsid w:val="00BC7E44"/>
    <w:rsid w:val="00BD2D2D"/>
    <w:rsid w:val="00BD67E5"/>
    <w:rsid w:val="00BE100D"/>
    <w:rsid w:val="00BE191D"/>
    <w:rsid w:val="00BF0185"/>
    <w:rsid w:val="00BF2951"/>
    <w:rsid w:val="00BF474C"/>
    <w:rsid w:val="00BF4A43"/>
    <w:rsid w:val="00BF5D14"/>
    <w:rsid w:val="00C0043C"/>
    <w:rsid w:val="00C020FC"/>
    <w:rsid w:val="00C0489C"/>
    <w:rsid w:val="00C04D57"/>
    <w:rsid w:val="00C05110"/>
    <w:rsid w:val="00C0713C"/>
    <w:rsid w:val="00C12BC8"/>
    <w:rsid w:val="00C14F26"/>
    <w:rsid w:val="00C20B3F"/>
    <w:rsid w:val="00C33A9C"/>
    <w:rsid w:val="00C34DD8"/>
    <w:rsid w:val="00C36679"/>
    <w:rsid w:val="00C370ED"/>
    <w:rsid w:val="00C40339"/>
    <w:rsid w:val="00C4146F"/>
    <w:rsid w:val="00C423D6"/>
    <w:rsid w:val="00C46E2A"/>
    <w:rsid w:val="00C5670A"/>
    <w:rsid w:val="00C63F6D"/>
    <w:rsid w:val="00C6407C"/>
    <w:rsid w:val="00C75C65"/>
    <w:rsid w:val="00C82098"/>
    <w:rsid w:val="00C8442B"/>
    <w:rsid w:val="00C861B9"/>
    <w:rsid w:val="00C9077B"/>
    <w:rsid w:val="00C93BE4"/>
    <w:rsid w:val="00CA25F9"/>
    <w:rsid w:val="00CA3CB5"/>
    <w:rsid w:val="00CA47D9"/>
    <w:rsid w:val="00CA71F4"/>
    <w:rsid w:val="00CB17EA"/>
    <w:rsid w:val="00CB2445"/>
    <w:rsid w:val="00CB5002"/>
    <w:rsid w:val="00CB5D5B"/>
    <w:rsid w:val="00CB69C3"/>
    <w:rsid w:val="00CC1919"/>
    <w:rsid w:val="00CD592B"/>
    <w:rsid w:val="00CD741D"/>
    <w:rsid w:val="00CE18DD"/>
    <w:rsid w:val="00CE6185"/>
    <w:rsid w:val="00CF2F92"/>
    <w:rsid w:val="00D204D4"/>
    <w:rsid w:val="00D23C07"/>
    <w:rsid w:val="00D32697"/>
    <w:rsid w:val="00D35094"/>
    <w:rsid w:val="00D375FC"/>
    <w:rsid w:val="00D43F6B"/>
    <w:rsid w:val="00D5647A"/>
    <w:rsid w:val="00D57EF3"/>
    <w:rsid w:val="00D62865"/>
    <w:rsid w:val="00D656F9"/>
    <w:rsid w:val="00D663A2"/>
    <w:rsid w:val="00D701A1"/>
    <w:rsid w:val="00D70E47"/>
    <w:rsid w:val="00D73549"/>
    <w:rsid w:val="00D80697"/>
    <w:rsid w:val="00D81007"/>
    <w:rsid w:val="00D87487"/>
    <w:rsid w:val="00D913CA"/>
    <w:rsid w:val="00D93B8F"/>
    <w:rsid w:val="00DB0D69"/>
    <w:rsid w:val="00DB162B"/>
    <w:rsid w:val="00DB5442"/>
    <w:rsid w:val="00DC39C9"/>
    <w:rsid w:val="00DD0AF5"/>
    <w:rsid w:val="00DD3A3B"/>
    <w:rsid w:val="00DD510E"/>
    <w:rsid w:val="00DD5AF4"/>
    <w:rsid w:val="00DD6663"/>
    <w:rsid w:val="00DE201F"/>
    <w:rsid w:val="00DF7247"/>
    <w:rsid w:val="00DF7B9C"/>
    <w:rsid w:val="00E009E8"/>
    <w:rsid w:val="00E01DA3"/>
    <w:rsid w:val="00E0218C"/>
    <w:rsid w:val="00E027B8"/>
    <w:rsid w:val="00E037B9"/>
    <w:rsid w:val="00E04273"/>
    <w:rsid w:val="00E061E2"/>
    <w:rsid w:val="00E064A5"/>
    <w:rsid w:val="00E0790E"/>
    <w:rsid w:val="00E24866"/>
    <w:rsid w:val="00E256E4"/>
    <w:rsid w:val="00E40ED5"/>
    <w:rsid w:val="00E432BB"/>
    <w:rsid w:val="00E4714F"/>
    <w:rsid w:val="00E513F6"/>
    <w:rsid w:val="00E5282B"/>
    <w:rsid w:val="00E53832"/>
    <w:rsid w:val="00E55AC4"/>
    <w:rsid w:val="00E56A28"/>
    <w:rsid w:val="00E7413B"/>
    <w:rsid w:val="00E869D4"/>
    <w:rsid w:val="00E9027D"/>
    <w:rsid w:val="00E94BAE"/>
    <w:rsid w:val="00E95106"/>
    <w:rsid w:val="00EA31C4"/>
    <w:rsid w:val="00EB010B"/>
    <w:rsid w:val="00EC64E4"/>
    <w:rsid w:val="00ED171B"/>
    <w:rsid w:val="00ED2BB7"/>
    <w:rsid w:val="00EE133C"/>
    <w:rsid w:val="00EE5A8F"/>
    <w:rsid w:val="00EF32E7"/>
    <w:rsid w:val="00F0507E"/>
    <w:rsid w:val="00F178E8"/>
    <w:rsid w:val="00F23E1F"/>
    <w:rsid w:val="00F23FB7"/>
    <w:rsid w:val="00F2670B"/>
    <w:rsid w:val="00F34957"/>
    <w:rsid w:val="00F418F2"/>
    <w:rsid w:val="00F42B55"/>
    <w:rsid w:val="00F435AE"/>
    <w:rsid w:val="00F5095C"/>
    <w:rsid w:val="00F51359"/>
    <w:rsid w:val="00F66B13"/>
    <w:rsid w:val="00F72164"/>
    <w:rsid w:val="00F74FD7"/>
    <w:rsid w:val="00F83359"/>
    <w:rsid w:val="00F86C45"/>
    <w:rsid w:val="00F90DB0"/>
    <w:rsid w:val="00F96ACA"/>
    <w:rsid w:val="00F97F39"/>
    <w:rsid w:val="00FA6B67"/>
    <w:rsid w:val="00FC3F4C"/>
    <w:rsid w:val="00FC4F8C"/>
    <w:rsid w:val="00FC65E3"/>
    <w:rsid w:val="00FD0B4F"/>
    <w:rsid w:val="00FD4A24"/>
    <w:rsid w:val="00FD7ACD"/>
    <w:rsid w:val="00FD7EC7"/>
    <w:rsid w:val="00FE3993"/>
    <w:rsid w:val="1666025D"/>
    <w:rsid w:val="1EED151B"/>
    <w:rsid w:val="2408650B"/>
    <w:rsid w:val="275A1718"/>
    <w:rsid w:val="2C247C6C"/>
    <w:rsid w:val="2FE029D7"/>
    <w:rsid w:val="35DB4B69"/>
    <w:rsid w:val="4F29184C"/>
    <w:rsid w:val="4F951D23"/>
    <w:rsid w:val="5DDA6024"/>
    <w:rsid w:val="64883420"/>
    <w:rsid w:val="667C5D3D"/>
    <w:rsid w:val="71A0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Times New Roman" w:cs="宋体"/>
      <w:sz w:val="22"/>
      <w:szCs w:val="22"/>
      <w:lang w:val="en-US" w:eastAsia="en-US" w:bidi="en-US"/>
    </w:rPr>
  </w:style>
  <w:style w:type="paragraph" w:styleId="2">
    <w:name w:val="heading 1"/>
    <w:basedOn w:val="1"/>
    <w:next w:val="1"/>
    <w:link w:val="22"/>
    <w:qFormat/>
    <w:uiPriority w:val="1"/>
    <w:pPr>
      <w:spacing w:before="55"/>
      <w:ind w:right="212"/>
      <w:jc w:val="center"/>
      <w:outlineLvl w:val="0"/>
    </w:pPr>
    <w:rPr>
      <w:rFonts w:ascii="黑体" w:hAnsi="黑体" w:eastAsia="黑体" w:cs="黑体"/>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style>
  <w:style w:type="paragraph" w:styleId="4">
    <w:name w:val="Body Text"/>
    <w:basedOn w:val="1"/>
    <w:link w:val="16"/>
    <w:qFormat/>
    <w:uiPriority w:val="1"/>
    <w:rPr>
      <w:rFonts w:eastAsia="宋体"/>
      <w:sz w:val="21"/>
      <w:szCs w:val="21"/>
    </w:rPr>
  </w:style>
  <w:style w:type="paragraph" w:styleId="5">
    <w:name w:val="Balloon Text"/>
    <w:basedOn w:val="1"/>
    <w:link w:val="21"/>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4"/>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正文文本 字符"/>
    <w:basedOn w:val="11"/>
    <w:link w:val="4"/>
    <w:qFormat/>
    <w:uiPriority w:val="1"/>
    <w:rPr>
      <w:rFonts w:ascii="宋体" w:hAnsi="宋体" w:eastAsia="宋体" w:cs="宋体"/>
      <w:kern w:val="0"/>
      <w:szCs w:val="21"/>
      <w:lang w:eastAsia="en-US" w:bidi="en-US"/>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段 Char"/>
    <w:link w:val="17"/>
    <w:qFormat/>
    <w:uiPriority w:val="0"/>
    <w:rPr>
      <w:rFonts w:ascii="宋体" w:hAnsi="Times New Roman" w:eastAsia="宋体" w:cs="Times New Roman"/>
      <w:kern w:val="0"/>
      <w:szCs w:val="20"/>
    </w:rPr>
  </w:style>
  <w:style w:type="paragraph" w:customStyle="1" w:styleId="19">
    <w:name w:val="修订1"/>
    <w:hidden/>
    <w:semiHidden/>
    <w:qFormat/>
    <w:uiPriority w:val="99"/>
    <w:rPr>
      <w:rFonts w:ascii="宋体" w:hAnsi="宋体" w:eastAsia="Times New Roman" w:cs="宋体"/>
      <w:sz w:val="22"/>
      <w:szCs w:val="22"/>
      <w:lang w:val="en-US" w:eastAsia="en-US" w:bidi="en-US"/>
    </w:rPr>
  </w:style>
  <w:style w:type="paragraph" w:styleId="20">
    <w:name w:val="List Paragraph"/>
    <w:basedOn w:val="1"/>
    <w:qFormat/>
    <w:uiPriority w:val="99"/>
    <w:pPr>
      <w:ind w:firstLine="420" w:firstLineChars="200"/>
    </w:pPr>
  </w:style>
  <w:style w:type="character" w:customStyle="1" w:styleId="21">
    <w:name w:val="批注框文本 字符"/>
    <w:basedOn w:val="11"/>
    <w:link w:val="5"/>
    <w:semiHidden/>
    <w:qFormat/>
    <w:uiPriority w:val="99"/>
    <w:rPr>
      <w:rFonts w:ascii="宋体" w:hAnsi="宋体" w:eastAsia="Times New Roman" w:cs="宋体"/>
      <w:sz w:val="18"/>
      <w:szCs w:val="18"/>
      <w:lang w:eastAsia="en-US" w:bidi="en-US"/>
    </w:rPr>
  </w:style>
  <w:style w:type="character" w:customStyle="1" w:styleId="22">
    <w:name w:val="标题 1 字符"/>
    <w:basedOn w:val="11"/>
    <w:link w:val="2"/>
    <w:qFormat/>
    <w:uiPriority w:val="1"/>
    <w:rPr>
      <w:rFonts w:ascii="黑体" w:hAnsi="黑体" w:eastAsia="黑体" w:cs="黑体"/>
      <w:sz w:val="32"/>
      <w:szCs w:val="32"/>
      <w:lang w:eastAsia="en-US" w:bidi="en-US"/>
    </w:rPr>
  </w:style>
  <w:style w:type="character" w:customStyle="1" w:styleId="23">
    <w:name w:val="批注文字 字符"/>
    <w:basedOn w:val="11"/>
    <w:link w:val="3"/>
    <w:semiHidden/>
    <w:qFormat/>
    <w:uiPriority w:val="99"/>
    <w:rPr>
      <w:rFonts w:ascii="宋体" w:hAnsi="宋体" w:eastAsia="Times New Roman" w:cs="宋体"/>
      <w:sz w:val="22"/>
      <w:szCs w:val="22"/>
      <w:lang w:eastAsia="en-US" w:bidi="en-US"/>
    </w:rPr>
  </w:style>
  <w:style w:type="character" w:customStyle="1" w:styleId="24">
    <w:name w:val="批注主题 字符"/>
    <w:basedOn w:val="23"/>
    <w:link w:val="8"/>
    <w:semiHidden/>
    <w:qFormat/>
    <w:uiPriority w:val="99"/>
    <w:rPr>
      <w:rFonts w:ascii="宋体" w:hAnsi="宋体" w:eastAsia="Times New Roman" w:cs="宋体"/>
      <w:b/>
      <w:bCs/>
      <w:sz w:val="22"/>
      <w:szCs w:val="22"/>
      <w:lang w:eastAsia="en-US" w:bidi="en-US"/>
    </w:rPr>
  </w:style>
  <w:style w:type="character" w:customStyle="1" w:styleId="25">
    <w:name w:val="未处理的提及1"/>
    <w:basedOn w:val="11"/>
    <w:semiHidden/>
    <w:unhideWhenUsed/>
    <w:qFormat/>
    <w:uiPriority w:val="99"/>
    <w:rPr>
      <w:color w:val="605E5C"/>
      <w:shd w:val="clear" w:color="auto" w:fill="E1DFDD"/>
    </w:rPr>
  </w:style>
  <w:style w:type="table" w:customStyle="1" w:styleId="26">
    <w:name w:val="网格型1"/>
    <w:basedOn w:val="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2"/>
    <w:basedOn w:val="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标准文件_表格"/>
    <w:basedOn w:val="1"/>
    <w:qFormat/>
    <w:uiPriority w:val="0"/>
    <w:pPr>
      <w:widowControl/>
      <w:jc w:val="center"/>
    </w:pPr>
    <w:rPr>
      <w:rFonts w:hAnsi="Times New Roman" w:eastAsia="宋体" w:cs="Times New Roman"/>
      <w:sz w:val="18"/>
      <w:szCs w:val="20"/>
      <w:lang w:eastAsia="zh-CN" w:bidi="ar-SA"/>
    </w:rPr>
  </w:style>
  <w:style w:type="paragraph" w:customStyle="1" w:styleId="29">
    <w:name w:val="修订2"/>
    <w:hidden/>
    <w:semiHidden/>
    <w:uiPriority w:val="99"/>
    <w:rPr>
      <w:rFonts w:ascii="宋体" w:hAnsi="宋体" w:eastAsia="Times New Roman" w:cs="宋体"/>
      <w:sz w:val="22"/>
      <w:szCs w:val="22"/>
      <w:lang w:val="en-US" w:eastAsia="en-US" w:bidi="en-US"/>
    </w:rPr>
  </w:style>
  <w:style w:type="paragraph" w:customStyle="1" w:styleId="30">
    <w:name w:val="标准文件_段"/>
    <w:link w:val="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1">
    <w:name w:val="标准文件_段 Char"/>
    <w:link w:val="30"/>
    <w:qFormat/>
    <w:uiPriority w:val="0"/>
    <w:rPr>
      <w:rFonts w:ascii="宋体" w:hAnsi="Times New Roman"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2189C2-41C1-4C72-93BB-4773EFFB7CBD}">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5530</Words>
  <Characters>6405</Characters>
  <Lines>47</Lines>
  <Paragraphs>13</Paragraphs>
  <TotalTime>147</TotalTime>
  <ScaleCrop>false</ScaleCrop>
  <LinksUpToDate>false</LinksUpToDate>
  <CharactersWithSpaces>6550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2023-03-01T10:03:00Z</dcterms:created>
  <dc:creator>中尉</dc:creator>
  <cp:lastModifiedBy>Administrator</cp:lastModifiedBy>
  <cp:lastPrinted>2022-03-09T08:03:00Z</cp:lastPrinted>
  <dcterms:modified xsi:type="dcterms:W3CDTF">2023-03-06T08:20:06Z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3CF756AD131A483794C35A2C1ABDD590</vt:lpwstr>
  </property>
</Properties>
</file>